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A87DAE" w:rsidRDefault="00BA36D1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7C26D7" w:rsidRDefault="007C26D7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p w:rsidR="00CF0C37" w:rsidRPr="007C26D7" w:rsidRDefault="00CF0C37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7C26D7" w:rsidRDefault="00BA36D1" w:rsidP="007C26D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7C26D7">
        <w:rPr>
          <w:rFonts w:ascii="Arial" w:hAnsi="Arial" w:cs="Arial"/>
        </w:rPr>
        <w:t>informo NÃO haver no sistema desta Casa, Projeto de Lei</w:t>
      </w:r>
      <w:r w:rsidR="000A2341">
        <w:rPr>
          <w:rFonts w:ascii="Arial" w:hAnsi="Arial" w:cs="Arial"/>
        </w:rPr>
        <w:t xml:space="preserve">, </w:t>
      </w:r>
      <w:r w:rsidR="007C26D7">
        <w:rPr>
          <w:rFonts w:ascii="Arial" w:hAnsi="Arial" w:cs="Arial"/>
        </w:rPr>
        <w:t>Lei Municipal,</w:t>
      </w:r>
      <w:r w:rsidR="000A2341">
        <w:rPr>
          <w:rFonts w:ascii="Arial" w:hAnsi="Arial" w:cs="Arial"/>
        </w:rPr>
        <w:t xml:space="preserve"> Projeto de Resolução ou Resolução</w:t>
      </w:r>
      <w:r w:rsidR="007C26D7">
        <w:rPr>
          <w:rFonts w:ascii="Arial" w:hAnsi="Arial" w:cs="Arial"/>
        </w:rPr>
        <w:t xml:space="preserve"> em vigor, com mesmo objeto ou objeto semelhante ao </w:t>
      </w:r>
      <w:r w:rsidR="00CF0C37">
        <w:rPr>
          <w:rFonts w:ascii="Arial" w:hAnsi="Arial" w:cs="Arial"/>
        </w:rPr>
        <w:t>do Projeto de L</w:t>
      </w:r>
      <w:r w:rsidR="00CF52AB">
        <w:rPr>
          <w:rFonts w:ascii="Arial" w:hAnsi="Arial" w:cs="Arial"/>
        </w:rPr>
        <w:t>ei</w:t>
      </w:r>
      <w:r w:rsidR="00CF0C37">
        <w:rPr>
          <w:rFonts w:ascii="Arial" w:hAnsi="Arial" w:cs="Arial"/>
        </w:rPr>
        <w:t xml:space="preserve"> O</w:t>
      </w:r>
      <w:r w:rsidR="000A2341">
        <w:rPr>
          <w:rFonts w:ascii="Arial" w:hAnsi="Arial" w:cs="Arial"/>
        </w:rPr>
        <w:t>rdinária</w:t>
      </w:r>
      <w:r w:rsidR="00CF52AB">
        <w:rPr>
          <w:rFonts w:ascii="Arial" w:hAnsi="Arial" w:cs="Arial"/>
        </w:rPr>
        <w:t xml:space="preserve"> nº 195</w:t>
      </w:r>
      <w:r w:rsidR="007C26D7">
        <w:rPr>
          <w:rFonts w:ascii="Arial" w:hAnsi="Arial" w:cs="Arial"/>
        </w:rPr>
        <w:t>/2025 que possui a seguinte ementa: “</w:t>
      </w:r>
      <w:r w:rsidR="000A2341" w:rsidRPr="000A2341">
        <w:rPr>
          <w:rFonts w:ascii="Arial" w:hAnsi="Arial" w:cs="Arial"/>
          <w:i/>
        </w:rPr>
        <w:t>CRIA A COMISSÃO ESPECIAL DE DEFESA E DIREITO DOS ANIMAIS NO ÂMBITO DA CÂMARA MUNICIPAL DE BARRA DO PIRAÍ E DÁ OUTRAS PROVIDÊNCIAS</w:t>
      </w:r>
      <w:r w:rsidR="007C26D7">
        <w:rPr>
          <w:rFonts w:ascii="Arial" w:hAnsi="Arial" w:cs="Arial"/>
          <w:i/>
        </w:rPr>
        <w:t>”.</w:t>
      </w:r>
    </w:p>
    <w:p w:rsidR="007C26D7" w:rsidRDefault="007C26D7" w:rsidP="007C26D7">
      <w:pPr>
        <w:spacing w:after="0" w:line="360" w:lineRule="auto"/>
        <w:ind w:firstLine="851"/>
        <w:rPr>
          <w:rFonts w:ascii="Arial" w:hAnsi="Arial" w:cs="Arial"/>
        </w:rPr>
      </w:pPr>
    </w:p>
    <w:p w:rsidR="000A2341" w:rsidRDefault="007C26D7" w:rsidP="000A2341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Apenas a título de observação, informo que </w:t>
      </w:r>
      <w:r w:rsidR="000A2341">
        <w:rPr>
          <w:rFonts w:ascii="Arial" w:hAnsi="Arial" w:cs="Arial"/>
        </w:rPr>
        <w:t>as Comissões Permanentes da Câmara Municipal do Município de Barra do Piraí estão listadas no artigo 34 do Regimento Interno desta Casa Legislativa</w:t>
      </w:r>
      <w:r w:rsidR="00CF0C37">
        <w:rPr>
          <w:rFonts w:ascii="Arial" w:hAnsi="Arial" w:cs="Arial"/>
        </w:rPr>
        <w:t xml:space="preserve">, de modo que a </w:t>
      </w:r>
      <w:r w:rsidR="000A2341">
        <w:rPr>
          <w:rFonts w:ascii="Arial" w:hAnsi="Arial" w:cs="Arial"/>
        </w:rPr>
        <w:t>Resolução nº 3/2023</w:t>
      </w:r>
      <w:r w:rsidR="00CF0C37">
        <w:rPr>
          <w:rFonts w:ascii="Arial" w:hAnsi="Arial" w:cs="Arial"/>
        </w:rPr>
        <w:t xml:space="preserve"> modificou a redação do mencionado dispositivo legal para atualizar as Comissões existentes nesta Casa. </w:t>
      </w:r>
      <w:r w:rsidR="000A2341">
        <w:rPr>
          <w:rFonts w:ascii="Arial" w:hAnsi="Arial" w:cs="Arial"/>
        </w:rPr>
        <w:t>Confira-se:</w:t>
      </w:r>
    </w:p>
    <w:p w:rsidR="000A2341" w:rsidRDefault="000A2341" w:rsidP="000A2341">
      <w:pPr>
        <w:spacing w:after="0" w:line="360" w:lineRule="auto"/>
        <w:ind w:firstLine="851"/>
        <w:rPr>
          <w:rFonts w:ascii="Arial" w:hAnsi="Arial" w:cs="Arial"/>
        </w:rPr>
      </w:pP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sz w:val="20"/>
        </w:rPr>
      </w:pPr>
      <w:proofErr w:type="gramStart"/>
      <w:r w:rsidRPr="000A2341">
        <w:rPr>
          <w:rFonts w:ascii="Arial" w:hAnsi="Arial" w:cs="Arial"/>
          <w:sz w:val="20"/>
        </w:rPr>
        <w:t>“CAPÍTULO III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sz w:val="20"/>
        </w:rPr>
      </w:pPr>
      <w:proofErr w:type="gramEnd"/>
      <w:r w:rsidRPr="000A2341">
        <w:rPr>
          <w:rFonts w:ascii="Arial" w:hAnsi="Arial" w:cs="Arial"/>
          <w:sz w:val="20"/>
        </w:rPr>
        <w:t>DAS COMISSÕES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sz w:val="20"/>
        </w:rPr>
      </w:pP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sz w:val="20"/>
        </w:rPr>
      </w:pPr>
      <w:r w:rsidRPr="000A2341">
        <w:rPr>
          <w:rFonts w:ascii="Arial" w:hAnsi="Arial" w:cs="Arial"/>
          <w:sz w:val="20"/>
        </w:rPr>
        <w:t>SEÇÃO I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sz w:val="20"/>
        </w:rPr>
      </w:pPr>
      <w:r w:rsidRPr="000A2341">
        <w:rPr>
          <w:rFonts w:ascii="Arial" w:hAnsi="Arial" w:cs="Arial"/>
          <w:sz w:val="20"/>
        </w:rPr>
        <w:t>DA FINALIDADE DAS COMISSÕES E DE SUAS MODALIDADES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sz w:val="20"/>
        </w:rPr>
      </w:pP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sz w:val="20"/>
        </w:rPr>
      </w:pPr>
      <w:r w:rsidRPr="000A2341">
        <w:rPr>
          <w:rFonts w:ascii="Arial" w:hAnsi="Arial" w:cs="Arial"/>
          <w:sz w:val="20"/>
        </w:rPr>
        <w:t xml:space="preserve">Art. 33 - As Comissões são órgãos técnicos constituídos pelos próprios membros da Câmara, destinado, em caráter permanente ou transitório, a </w:t>
      </w:r>
      <w:proofErr w:type="gramStart"/>
      <w:r w:rsidRPr="000A2341">
        <w:rPr>
          <w:rFonts w:ascii="Arial" w:hAnsi="Arial" w:cs="Arial"/>
          <w:sz w:val="20"/>
        </w:rPr>
        <w:t>proceder</w:t>
      </w:r>
      <w:proofErr w:type="gramEnd"/>
      <w:r w:rsidRPr="000A2341">
        <w:rPr>
          <w:rFonts w:ascii="Arial" w:hAnsi="Arial" w:cs="Arial"/>
          <w:sz w:val="20"/>
        </w:rPr>
        <w:t xml:space="preserve"> estudo, emitir pareceres especializados, realizar investigações e representar o Legislativo.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sz w:val="20"/>
        </w:rPr>
      </w:pP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Art. 34 - As Comissões Permanentes da Câmara Municipal são: (Redação da Resolução 3/2023)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I- Comissão de Constituição, Justiça e Redação;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II- Comissão de Finanças, Orçamento e Tomada de Contas;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lastRenderedPageBreak/>
        <w:t>III- Comissão de Obras e Serviços Públicos;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IV- Comissão de Saúde;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V- Comissão de Agricultura, Pecuária, Indústria e Comércio;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VI- Comissão de Meio Ambiente e Desenvolvimento Sustentável;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VII- Comissão de Defesa dos Direitos Humanos e Cidadania;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VIII- Comissão de Defesa do Consumidor;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IX- Comissão de Defesa dos Direitos da Mulher;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X- Comissão de Educação;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XI- Comissão de Assistência Social;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XII- Comissão de Segurança Pública;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XIII- Comissão de Esporte;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XIV- Comissão de Transportes;</w:t>
      </w:r>
    </w:p>
    <w:p w:rsidR="000A2341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b/>
          <w:sz w:val="20"/>
        </w:rPr>
      </w:pPr>
      <w:r w:rsidRPr="000A2341">
        <w:rPr>
          <w:rFonts w:ascii="Arial" w:hAnsi="Arial" w:cs="Arial"/>
          <w:b/>
          <w:sz w:val="20"/>
        </w:rPr>
        <w:t>XV- Comissão de Defesa dos Direitos das Pessoas com Deficiência;</w:t>
      </w:r>
    </w:p>
    <w:p w:rsidR="007C26D7" w:rsidRPr="000A2341" w:rsidRDefault="000A2341" w:rsidP="000A2341">
      <w:pPr>
        <w:spacing w:after="0" w:line="360" w:lineRule="auto"/>
        <w:ind w:left="2268" w:firstLine="0"/>
        <w:rPr>
          <w:rFonts w:ascii="Arial" w:hAnsi="Arial" w:cs="Arial"/>
          <w:sz w:val="20"/>
        </w:rPr>
      </w:pPr>
      <w:r w:rsidRPr="000A2341">
        <w:rPr>
          <w:rFonts w:ascii="Arial" w:hAnsi="Arial" w:cs="Arial"/>
          <w:b/>
          <w:sz w:val="20"/>
        </w:rPr>
        <w:t>XVI- Comissão de Defesa dos Direitos da Pessoa Idosa</w:t>
      </w:r>
      <w:r w:rsidRPr="000A2341">
        <w:rPr>
          <w:rFonts w:ascii="Arial" w:hAnsi="Arial" w:cs="Arial"/>
          <w:sz w:val="20"/>
        </w:rPr>
        <w:t xml:space="preserve">; </w:t>
      </w:r>
    </w:p>
    <w:p w:rsidR="007C26D7" w:rsidRDefault="007C26D7" w:rsidP="007C26D7">
      <w:pPr>
        <w:spacing w:after="0" w:line="360" w:lineRule="auto"/>
        <w:ind w:firstLine="0"/>
        <w:rPr>
          <w:rFonts w:ascii="Arial" w:hAnsi="Arial" w:cs="Arial"/>
          <w:bCs/>
        </w:rPr>
      </w:pPr>
    </w:p>
    <w:p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F27C2" w:rsidRDefault="007C26D7" w:rsidP="005F27C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 utilizadas: </w:t>
      </w:r>
      <w:r w:rsidR="000A2341">
        <w:rPr>
          <w:rFonts w:ascii="Arial" w:hAnsi="Arial" w:cs="Arial"/>
          <w:bCs/>
        </w:rPr>
        <w:t>Comissão; Comissões; Comissão especial;</w:t>
      </w:r>
      <w:r w:rsidR="00CF0C37">
        <w:rPr>
          <w:rFonts w:ascii="Arial" w:hAnsi="Arial" w:cs="Arial"/>
          <w:bCs/>
        </w:rPr>
        <w:t xml:space="preserve"> Comissão Especial de Defesa e Direito dos Animais;</w:t>
      </w:r>
      <w:r w:rsidR="000A2341">
        <w:rPr>
          <w:rFonts w:ascii="Arial" w:hAnsi="Arial" w:cs="Arial"/>
          <w:bCs/>
        </w:rPr>
        <w:t xml:space="preserve"> Câmara Municipal; Animais; </w:t>
      </w:r>
    </w:p>
    <w:p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0A2341" w:rsidRPr="008111F8" w:rsidRDefault="000A2341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0A2341">
        <w:rPr>
          <w:rFonts w:ascii="Arial" w:hAnsi="Arial" w:cs="Arial"/>
        </w:rPr>
        <w:t xml:space="preserve"> 09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>de junho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320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3E6" w:rsidRDefault="00B523E6">
      <w:pPr>
        <w:spacing w:after="0" w:line="240" w:lineRule="auto"/>
      </w:pPr>
      <w:r>
        <w:separator/>
      </w:r>
    </w:p>
  </w:endnote>
  <w:endnote w:type="continuationSeparator" w:id="0">
    <w:p w:rsidR="00B523E6" w:rsidRDefault="00B5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4147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41478">
      <w:rPr>
        <w:b/>
        <w:color w:val="000000"/>
        <w:sz w:val="14"/>
        <w:szCs w:val="14"/>
      </w:rPr>
      <w:fldChar w:fldCharType="separate"/>
    </w:r>
    <w:r w:rsidR="0088420D">
      <w:rPr>
        <w:b/>
        <w:noProof/>
        <w:color w:val="000000"/>
        <w:sz w:val="14"/>
        <w:szCs w:val="14"/>
      </w:rPr>
      <w:t>2</w:t>
    </w:r>
    <w:r w:rsidR="00141478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4147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41478">
      <w:rPr>
        <w:b/>
        <w:color w:val="000000"/>
        <w:sz w:val="14"/>
        <w:szCs w:val="14"/>
      </w:rPr>
      <w:fldChar w:fldCharType="separate"/>
    </w:r>
    <w:r w:rsidR="0088420D">
      <w:rPr>
        <w:b/>
        <w:noProof/>
        <w:color w:val="000000"/>
        <w:sz w:val="14"/>
        <w:szCs w:val="14"/>
      </w:rPr>
      <w:t>2</w:t>
    </w:r>
    <w:r w:rsidR="00141478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3E6" w:rsidRDefault="00B523E6">
      <w:pPr>
        <w:spacing w:after="0" w:line="240" w:lineRule="auto"/>
      </w:pPr>
      <w:r>
        <w:separator/>
      </w:r>
    </w:p>
  </w:footnote>
  <w:footnote w:type="continuationSeparator" w:id="0">
    <w:p w:rsidR="00B523E6" w:rsidRDefault="00B5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2341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1478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7B6D"/>
    <w:rsid w:val="001D3879"/>
    <w:rsid w:val="001E0758"/>
    <w:rsid w:val="001E542E"/>
    <w:rsid w:val="00202616"/>
    <w:rsid w:val="0020349C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61C08"/>
    <w:rsid w:val="00362F30"/>
    <w:rsid w:val="00374FE1"/>
    <w:rsid w:val="003A1112"/>
    <w:rsid w:val="003A6E90"/>
    <w:rsid w:val="003C3E15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A082E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148F"/>
    <w:rsid w:val="00562F21"/>
    <w:rsid w:val="005704D5"/>
    <w:rsid w:val="005768E4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6B53"/>
    <w:rsid w:val="006727CC"/>
    <w:rsid w:val="00677D86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711E2"/>
    <w:rsid w:val="007750CC"/>
    <w:rsid w:val="0077740F"/>
    <w:rsid w:val="007A0A09"/>
    <w:rsid w:val="007A5A3C"/>
    <w:rsid w:val="007C26D7"/>
    <w:rsid w:val="007C4536"/>
    <w:rsid w:val="007C7544"/>
    <w:rsid w:val="007D6232"/>
    <w:rsid w:val="007E1FF4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7EAD"/>
    <w:rsid w:val="00845DF4"/>
    <w:rsid w:val="0085135F"/>
    <w:rsid w:val="00853C5C"/>
    <w:rsid w:val="00863F29"/>
    <w:rsid w:val="0087058D"/>
    <w:rsid w:val="00880D44"/>
    <w:rsid w:val="008815F3"/>
    <w:rsid w:val="00882587"/>
    <w:rsid w:val="0088420D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77CD"/>
    <w:rsid w:val="008E51B0"/>
    <w:rsid w:val="008F0A83"/>
    <w:rsid w:val="008F2965"/>
    <w:rsid w:val="00901C6C"/>
    <w:rsid w:val="00902A48"/>
    <w:rsid w:val="00904247"/>
    <w:rsid w:val="00905B70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6340C"/>
    <w:rsid w:val="00A63A30"/>
    <w:rsid w:val="00A72BA4"/>
    <w:rsid w:val="00A73580"/>
    <w:rsid w:val="00A75BEF"/>
    <w:rsid w:val="00A84BC3"/>
    <w:rsid w:val="00A87DAE"/>
    <w:rsid w:val="00A915BB"/>
    <w:rsid w:val="00A94B39"/>
    <w:rsid w:val="00AA1ED2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40B65"/>
    <w:rsid w:val="00B44C43"/>
    <w:rsid w:val="00B50E7C"/>
    <w:rsid w:val="00B523E6"/>
    <w:rsid w:val="00B55FDC"/>
    <w:rsid w:val="00B60CA4"/>
    <w:rsid w:val="00B640AC"/>
    <w:rsid w:val="00B669A2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6011B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602A"/>
    <w:rsid w:val="00CF08E3"/>
    <w:rsid w:val="00CF0C37"/>
    <w:rsid w:val="00CF199F"/>
    <w:rsid w:val="00CF4DBE"/>
    <w:rsid w:val="00CF52AB"/>
    <w:rsid w:val="00CF63C6"/>
    <w:rsid w:val="00D007C1"/>
    <w:rsid w:val="00D23DA7"/>
    <w:rsid w:val="00D32F31"/>
    <w:rsid w:val="00D423E8"/>
    <w:rsid w:val="00D46CCA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842E0"/>
    <w:rsid w:val="00EA30B3"/>
    <w:rsid w:val="00EC105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6</cp:revision>
  <cp:lastPrinted>2025-06-09T17:28:00Z</cp:lastPrinted>
  <dcterms:created xsi:type="dcterms:W3CDTF">2025-06-09T17:06:00Z</dcterms:created>
  <dcterms:modified xsi:type="dcterms:W3CDTF">2025-06-09T17:29:00Z</dcterms:modified>
</cp:coreProperties>
</file>