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CE14" w14:textId="77777777" w:rsidR="00A73580" w:rsidRDefault="00A73580" w:rsidP="00A24179">
      <w:pPr>
        <w:ind w:firstLine="0"/>
        <w:rPr>
          <w:rFonts w:ascii="Arial" w:hAnsi="Arial" w:cs="Arial"/>
          <w:sz w:val="26"/>
          <w:szCs w:val="26"/>
        </w:rPr>
      </w:pPr>
    </w:p>
    <w:p w14:paraId="595094E1" w14:textId="77777777" w:rsidR="00EC015E" w:rsidRDefault="00BA36D1" w:rsidP="009C5458">
      <w:pPr>
        <w:spacing w:after="0" w:line="360" w:lineRule="auto"/>
        <w:ind w:firstLine="0"/>
        <w:jc w:val="center"/>
        <w:rPr>
          <w:rFonts w:ascii="Arial" w:hAnsi="Arial" w:cs="Arial"/>
          <w:sz w:val="26"/>
          <w:szCs w:val="26"/>
        </w:rPr>
      </w:pPr>
      <w:r>
        <w:rPr>
          <w:rFonts w:ascii="Arial" w:hAnsi="Arial" w:cs="Arial"/>
          <w:sz w:val="26"/>
          <w:szCs w:val="26"/>
        </w:rPr>
        <w:t>CERTIDÃO</w:t>
      </w:r>
    </w:p>
    <w:p w14:paraId="2DBA8293" w14:textId="77777777" w:rsidR="00B443F4" w:rsidRDefault="00B443F4" w:rsidP="00793BE8">
      <w:pPr>
        <w:spacing w:after="0" w:line="360" w:lineRule="auto"/>
        <w:ind w:firstLine="0"/>
        <w:rPr>
          <w:rFonts w:ascii="Arial" w:hAnsi="Arial" w:cs="Arial"/>
          <w:sz w:val="26"/>
          <w:szCs w:val="26"/>
        </w:rPr>
      </w:pPr>
    </w:p>
    <w:p w14:paraId="6F452CA3" w14:textId="77777777" w:rsidR="00E927C6" w:rsidRPr="00EC015E" w:rsidRDefault="00E927C6" w:rsidP="00793BE8">
      <w:pPr>
        <w:spacing w:after="0" w:line="360" w:lineRule="auto"/>
        <w:ind w:firstLine="0"/>
        <w:rPr>
          <w:rFonts w:ascii="Arial" w:hAnsi="Arial" w:cs="Arial"/>
          <w:sz w:val="26"/>
          <w:szCs w:val="26"/>
        </w:rPr>
      </w:pPr>
    </w:p>
    <w:p w14:paraId="32791829" w14:textId="77777777" w:rsidR="00BA36D1" w:rsidRDefault="00BA36D1" w:rsidP="00EC015E">
      <w:pPr>
        <w:spacing w:after="0" w:line="360" w:lineRule="auto"/>
        <w:ind w:firstLine="851"/>
        <w:rPr>
          <w:rFonts w:ascii="Arial" w:hAnsi="Arial" w:cs="Arial"/>
        </w:rPr>
      </w:pPr>
      <w:r>
        <w:rPr>
          <w:rFonts w:ascii="Arial" w:hAnsi="Arial" w:cs="Arial"/>
        </w:rPr>
        <w:t>À Procuradoria</w:t>
      </w:r>
    </w:p>
    <w:p w14:paraId="6AA0ADBD" w14:textId="77777777" w:rsidR="00EC015E" w:rsidRDefault="00EC015E" w:rsidP="00EC015E">
      <w:pPr>
        <w:spacing w:after="0" w:line="360" w:lineRule="auto"/>
        <w:ind w:firstLine="851"/>
        <w:rPr>
          <w:rFonts w:ascii="Arial" w:hAnsi="Arial" w:cs="Arial"/>
        </w:rPr>
      </w:pPr>
    </w:p>
    <w:p w14:paraId="6AE8F4A8" w14:textId="4BA181C6" w:rsidR="008D55E8" w:rsidRDefault="00BA36D1" w:rsidP="00767C9A">
      <w:pPr>
        <w:spacing w:after="0" w:line="360" w:lineRule="auto"/>
        <w:ind w:firstLine="851"/>
        <w:rPr>
          <w:rFonts w:ascii="Arial" w:hAnsi="Arial" w:cs="Arial"/>
        </w:rPr>
      </w:pPr>
      <w:r>
        <w:rPr>
          <w:rFonts w:ascii="Arial" w:hAnsi="Arial" w:cs="Arial"/>
        </w:rPr>
        <w:t>Em atendimen</w:t>
      </w:r>
      <w:r w:rsidR="0009190D">
        <w:rPr>
          <w:rFonts w:ascii="Arial" w:hAnsi="Arial" w:cs="Arial"/>
        </w:rPr>
        <w:t>to a esta Procuradoria, informo</w:t>
      </w:r>
      <w:r w:rsidR="00A1799B">
        <w:rPr>
          <w:rFonts w:ascii="Arial" w:hAnsi="Arial" w:cs="Arial"/>
        </w:rPr>
        <w:t xml:space="preserve"> </w:t>
      </w:r>
      <w:r w:rsidR="00593B61">
        <w:rPr>
          <w:rFonts w:ascii="Arial" w:hAnsi="Arial" w:cs="Arial"/>
        </w:rPr>
        <w:t xml:space="preserve">não </w:t>
      </w:r>
      <w:r w:rsidR="00A1799B">
        <w:rPr>
          <w:rFonts w:ascii="Arial" w:hAnsi="Arial" w:cs="Arial"/>
        </w:rPr>
        <w:t>haver no sistema desta</w:t>
      </w:r>
      <w:r>
        <w:rPr>
          <w:rFonts w:ascii="Arial" w:hAnsi="Arial" w:cs="Arial"/>
        </w:rPr>
        <w:t xml:space="preserve"> Casa, </w:t>
      </w:r>
      <w:r w:rsidR="00593B61">
        <w:rPr>
          <w:rFonts w:ascii="Arial" w:hAnsi="Arial" w:cs="Arial"/>
        </w:rPr>
        <w:t xml:space="preserve">Projeto de Lei ou </w:t>
      </w:r>
      <w:r w:rsidR="009C0194">
        <w:rPr>
          <w:rFonts w:ascii="Arial" w:hAnsi="Arial" w:cs="Arial"/>
        </w:rPr>
        <w:t>Lei Municipa</w:t>
      </w:r>
      <w:r w:rsidR="00593B61">
        <w:rPr>
          <w:rFonts w:ascii="Arial" w:hAnsi="Arial" w:cs="Arial"/>
        </w:rPr>
        <w:t>l</w:t>
      </w:r>
      <w:r w:rsidR="009C0F30">
        <w:rPr>
          <w:rFonts w:ascii="Arial" w:hAnsi="Arial" w:cs="Arial"/>
        </w:rPr>
        <w:t xml:space="preserve">, em vigor, </w:t>
      </w:r>
      <w:r w:rsidR="004A5C2E">
        <w:rPr>
          <w:rFonts w:ascii="Arial" w:hAnsi="Arial" w:cs="Arial"/>
        </w:rPr>
        <w:t xml:space="preserve">com </w:t>
      </w:r>
      <w:r w:rsidR="009C0F30">
        <w:rPr>
          <w:rFonts w:ascii="Arial" w:hAnsi="Arial" w:cs="Arial"/>
        </w:rPr>
        <w:t>objeto</w:t>
      </w:r>
      <w:r w:rsidR="004A5C2E">
        <w:rPr>
          <w:rFonts w:ascii="Arial" w:hAnsi="Arial" w:cs="Arial"/>
        </w:rPr>
        <w:t xml:space="preserve"> semelhante</w:t>
      </w:r>
      <w:r w:rsidR="009C0F30">
        <w:rPr>
          <w:rFonts w:ascii="Arial" w:hAnsi="Arial" w:cs="Arial"/>
        </w:rPr>
        <w:t xml:space="preserve"> </w:t>
      </w:r>
      <w:r w:rsidR="004F0668">
        <w:rPr>
          <w:rFonts w:ascii="Arial" w:hAnsi="Arial" w:cs="Arial"/>
        </w:rPr>
        <w:t>ao do Projeto de Lei 2</w:t>
      </w:r>
      <w:r w:rsidR="006E0D2A">
        <w:rPr>
          <w:rFonts w:ascii="Arial" w:hAnsi="Arial" w:cs="Arial"/>
        </w:rPr>
        <w:t>81</w:t>
      </w:r>
      <w:r w:rsidR="000611C9">
        <w:rPr>
          <w:rFonts w:ascii="Arial" w:hAnsi="Arial" w:cs="Arial"/>
        </w:rPr>
        <w:t xml:space="preserve">/2025 que possui a seguinte ementa: </w:t>
      </w:r>
      <w:r w:rsidR="000611C9" w:rsidRPr="000611C9">
        <w:rPr>
          <w:rFonts w:ascii="Arial" w:hAnsi="Arial" w:cs="Arial"/>
          <w:i/>
        </w:rPr>
        <w:t>“</w:t>
      </w:r>
      <w:r w:rsidR="006E0D2A" w:rsidRPr="006E0D2A">
        <w:rPr>
          <w:rFonts w:ascii="Arial" w:hAnsi="Arial" w:cs="Arial"/>
          <w:i/>
        </w:rPr>
        <w:t>DISPÕE SOBRE A VEDAÇÃO DE NOMEAÇÃO PARA CARGOS EM COMISSÃO, FUNÇÕES DE CONFIANÇA E CONTRATAÇÃO, NO ÂMBITO DA ADMINISTRAÇÃO PÚBLICA DIRETA E INDIRETA DO MUNICÍPIO DE BARRA DO PIRAÍ, DE PESSOAS CONDENADAS POR CRIME DE FEMINICÍDIO OU TENTATIVA, E DÁ OUTRAS PROVIDÊNCIAS</w:t>
      </w:r>
      <w:r w:rsidR="004F0668">
        <w:rPr>
          <w:rFonts w:ascii="Arial" w:hAnsi="Arial" w:cs="Arial"/>
        </w:rPr>
        <w:t>”</w:t>
      </w:r>
      <w:r w:rsidR="008D55E8">
        <w:rPr>
          <w:rFonts w:ascii="Arial" w:hAnsi="Arial" w:cs="Arial"/>
        </w:rPr>
        <w:t>.</w:t>
      </w:r>
    </w:p>
    <w:p w14:paraId="05E6D9EB" w14:textId="77777777" w:rsidR="00524C7F" w:rsidRDefault="00524C7F" w:rsidP="00767C9A">
      <w:pPr>
        <w:spacing w:after="0" w:line="360" w:lineRule="auto"/>
        <w:ind w:firstLine="851"/>
        <w:rPr>
          <w:rFonts w:ascii="Arial" w:hAnsi="Arial" w:cs="Arial"/>
        </w:rPr>
      </w:pPr>
    </w:p>
    <w:p w14:paraId="57BA5F44" w14:textId="1E505B8D" w:rsidR="00A63005" w:rsidRDefault="00524C7F" w:rsidP="00A24179">
      <w:pPr>
        <w:spacing w:after="0" w:line="360" w:lineRule="auto"/>
        <w:ind w:firstLine="851"/>
        <w:rPr>
          <w:rFonts w:ascii="Arial" w:hAnsi="Arial" w:cs="Arial"/>
        </w:rPr>
      </w:pPr>
      <w:r>
        <w:rPr>
          <w:rFonts w:ascii="Arial" w:hAnsi="Arial" w:cs="Arial"/>
        </w:rPr>
        <w:t xml:space="preserve">A título de observação, informo que </w:t>
      </w:r>
      <w:r w:rsidR="006E0D2A">
        <w:rPr>
          <w:rFonts w:ascii="Arial" w:hAnsi="Arial" w:cs="Arial"/>
        </w:rPr>
        <w:t>há a seguinte previsão na Lei Orgânica do Município de Barra do Piraí:</w:t>
      </w:r>
    </w:p>
    <w:p w14:paraId="6C2D52EF" w14:textId="77777777" w:rsidR="006E0D2A" w:rsidRDefault="006E0D2A" w:rsidP="00A24179">
      <w:pPr>
        <w:spacing w:after="0" w:line="360" w:lineRule="auto"/>
        <w:ind w:firstLine="851"/>
        <w:rPr>
          <w:rFonts w:ascii="Arial" w:hAnsi="Arial" w:cs="Arial"/>
        </w:rPr>
      </w:pPr>
    </w:p>
    <w:p w14:paraId="58CB1CA5" w14:textId="28B0C066" w:rsidR="006E0D2A" w:rsidRPr="006E0D2A" w:rsidRDefault="006E0D2A" w:rsidP="006E0D2A">
      <w:pPr>
        <w:spacing w:after="0" w:line="360" w:lineRule="auto"/>
        <w:ind w:left="2268" w:firstLine="0"/>
        <w:rPr>
          <w:rFonts w:ascii="Arial" w:hAnsi="Arial" w:cs="Arial"/>
        </w:rPr>
      </w:pPr>
      <w:bookmarkStart w:id="0" w:name="562"/>
      <w:r>
        <w:rPr>
          <w:rFonts w:ascii="Arial" w:hAnsi="Arial" w:cs="Arial"/>
        </w:rPr>
        <w:t>“</w:t>
      </w:r>
      <w:r w:rsidRPr="006E0D2A">
        <w:rPr>
          <w:rFonts w:ascii="Arial" w:hAnsi="Arial" w:cs="Arial"/>
        </w:rPr>
        <w:t>Art. 85-A.</w:t>
      </w:r>
      <w:bookmarkEnd w:id="0"/>
      <w:r w:rsidRPr="006E0D2A">
        <w:rPr>
          <w:rFonts w:ascii="Arial" w:hAnsi="Arial" w:cs="Arial"/>
        </w:rPr>
        <w:t>  </w:t>
      </w:r>
      <w:r>
        <w:rPr>
          <w:rFonts w:ascii="Arial" w:hAnsi="Arial" w:cs="Arial"/>
        </w:rPr>
        <w:t xml:space="preserve">- </w:t>
      </w:r>
      <w:r w:rsidRPr="006E0D2A">
        <w:rPr>
          <w:rFonts w:ascii="Arial" w:hAnsi="Arial" w:cs="Arial"/>
        </w:rPr>
        <w:t>O Município, suas entidades da Administração Direta, indireta e Fundacional, para o provimento de quaisquer cargos em comissão, deverão observar os mesmos critérios relativos à inelegibilidade, constantes da Lei Complementar 64 de 18 de maio de 1990, principalmente em face da nova redação que lhe foi conferida pela Lei Complementar 135 de 14 de junho de 2010</w:t>
      </w:r>
      <w:r>
        <w:rPr>
          <w:rFonts w:ascii="Arial" w:hAnsi="Arial" w:cs="Arial"/>
        </w:rPr>
        <w:t>”.</w:t>
      </w:r>
    </w:p>
    <w:p w14:paraId="4926A462" w14:textId="77777777" w:rsidR="006E0D2A" w:rsidRDefault="006E0D2A" w:rsidP="00A24179">
      <w:pPr>
        <w:spacing w:after="0" w:line="360" w:lineRule="auto"/>
        <w:ind w:firstLine="851"/>
        <w:rPr>
          <w:rFonts w:ascii="Arial" w:hAnsi="Arial" w:cs="Arial"/>
        </w:rPr>
      </w:pPr>
    </w:p>
    <w:p w14:paraId="3AB2C54E" w14:textId="2921E44A" w:rsidR="00A63005" w:rsidRDefault="004148F4" w:rsidP="00A24179">
      <w:pPr>
        <w:spacing w:after="0" w:line="360" w:lineRule="auto"/>
        <w:ind w:firstLine="851"/>
        <w:rPr>
          <w:rFonts w:ascii="Arial" w:hAnsi="Arial" w:cs="Arial"/>
        </w:rPr>
      </w:pPr>
      <w:r>
        <w:rPr>
          <w:rFonts w:ascii="Arial" w:hAnsi="Arial" w:cs="Arial"/>
        </w:rPr>
        <w:t>Ademais, informo que encontrei a seguinte Lei Municipal:</w:t>
      </w:r>
    </w:p>
    <w:p w14:paraId="6C28CD5C" w14:textId="77777777" w:rsidR="004148F4" w:rsidRDefault="004148F4" w:rsidP="00A24179">
      <w:pPr>
        <w:spacing w:after="0" w:line="360" w:lineRule="auto"/>
        <w:ind w:firstLine="851"/>
        <w:rPr>
          <w:rFonts w:ascii="Arial" w:hAnsi="Arial" w:cs="Arial"/>
        </w:rPr>
      </w:pPr>
    </w:p>
    <w:p w14:paraId="23E78968" w14:textId="11C17184" w:rsidR="004148F4" w:rsidRPr="009F1AA7" w:rsidRDefault="004148F4" w:rsidP="004148F4">
      <w:pPr>
        <w:pStyle w:val="PargrafodaLista"/>
        <w:numPr>
          <w:ilvl w:val="0"/>
          <w:numId w:val="7"/>
        </w:numPr>
        <w:spacing w:after="0" w:line="360" w:lineRule="auto"/>
        <w:ind w:left="2268"/>
        <w:rPr>
          <w:rFonts w:ascii="Arial" w:hAnsi="Arial" w:cs="Arial"/>
          <w:b/>
        </w:rPr>
      </w:pPr>
      <w:r w:rsidRPr="009F1AA7">
        <w:rPr>
          <w:rFonts w:ascii="Arial" w:hAnsi="Arial" w:cs="Arial"/>
          <w:b/>
        </w:rPr>
        <w:t xml:space="preserve">Lei </w:t>
      </w:r>
      <w:r>
        <w:rPr>
          <w:rFonts w:ascii="Arial" w:hAnsi="Arial" w:cs="Arial"/>
          <w:b/>
        </w:rPr>
        <w:t xml:space="preserve">Municipal nº 3764 de 25 de agosto </w:t>
      </w:r>
      <w:r w:rsidRPr="009F1AA7">
        <w:rPr>
          <w:rFonts w:ascii="Arial" w:hAnsi="Arial" w:cs="Arial"/>
          <w:b/>
        </w:rPr>
        <w:t>de 20</w:t>
      </w:r>
      <w:r w:rsidR="00A63290">
        <w:rPr>
          <w:rFonts w:ascii="Arial" w:hAnsi="Arial" w:cs="Arial"/>
          <w:b/>
        </w:rPr>
        <w:t>23;</w:t>
      </w:r>
    </w:p>
    <w:p w14:paraId="048F28A3" w14:textId="22C6F0DB" w:rsidR="004148F4" w:rsidRPr="003F16BC" w:rsidRDefault="004148F4" w:rsidP="004148F4">
      <w:pPr>
        <w:pStyle w:val="PargrafodaLista"/>
        <w:spacing w:after="0" w:line="360" w:lineRule="auto"/>
        <w:ind w:left="2268" w:firstLine="0"/>
        <w:rPr>
          <w:rFonts w:ascii="Arial" w:hAnsi="Arial" w:cs="Arial"/>
        </w:rPr>
      </w:pPr>
      <w:r>
        <w:rPr>
          <w:rFonts w:ascii="Arial" w:hAnsi="Arial" w:cs="Arial"/>
        </w:rPr>
        <w:t>- Ementa: “</w:t>
      </w:r>
      <w:r w:rsidRPr="004148F4">
        <w:rPr>
          <w:rFonts w:ascii="Arial" w:hAnsi="Arial" w:cs="Arial"/>
        </w:rPr>
        <w:t>NORMATIZA Ο PROCESSO CONSULTIVO PARA</w:t>
      </w:r>
      <w:r>
        <w:rPr>
          <w:rFonts w:ascii="Arial" w:hAnsi="Arial" w:cs="Arial"/>
        </w:rPr>
        <w:t xml:space="preserve"> </w:t>
      </w:r>
      <w:r w:rsidRPr="004148F4">
        <w:rPr>
          <w:rFonts w:ascii="Arial" w:hAnsi="Arial" w:cs="Arial"/>
        </w:rPr>
        <w:t xml:space="preserve">A NOMEAÇÃO DE DIRETORES, DIRETORES ADJUNTOS E </w:t>
      </w:r>
      <w:r w:rsidRPr="004148F4">
        <w:rPr>
          <w:rFonts w:ascii="Arial" w:hAnsi="Arial" w:cs="Arial"/>
        </w:rPr>
        <w:lastRenderedPageBreak/>
        <w:t>COORDENADORES DE TURNO DAS INSTITUIÇÕES DE ENSINO DA REDE MUNICIPAL DE BARRA DO PIRAÍ</w:t>
      </w:r>
      <w:r w:rsidRPr="003F16BC">
        <w:rPr>
          <w:rFonts w:ascii="Arial" w:hAnsi="Arial" w:cs="Arial"/>
          <w:i/>
        </w:rPr>
        <w:t>”.</w:t>
      </w:r>
    </w:p>
    <w:p w14:paraId="0BA0CBF7" w14:textId="77777777" w:rsidR="004148F4" w:rsidRDefault="004148F4" w:rsidP="00A24179">
      <w:pPr>
        <w:spacing w:after="0" w:line="360" w:lineRule="auto"/>
        <w:ind w:firstLine="851"/>
        <w:rPr>
          <w:rFonts w:ascii="Arial" w:hAnsi="Arial" w:cs="Arial"/>
        </w:rPr>
      </w:pPr>
    </w:p>
    <w:p w14:paraId="7E2A38BA" w14:textId="019458C8" w:rsidR="004148F4" w:rsidRDefault="004148F4" w:rsidP="00A24179">
      <w:pPr>
        <w:spacing w:after="0" w:line="360" w:lineRule="auto"/>
        <w:ind w:firstLine="851"/>
        <w:rPr>
          <w:rFonts w:ascii="Arial" w:hAnsi="Arial" w:cs="Arial"/>
        </w:rPr>
      </w:pPr>
      <w:r>
        <w:rPr>
          <w:rFonts w:ascii="Arial" w:hAnsi="Arial" w:cs="Arial"/>
        </w:rPr>
        <w:t>Neste diapasão, o artigo 3º, inciso V, da referida norma jurídica prevê que:</w:t>
      </w:r>
    </w:p>
    <w:p w14:paraId="3B154C4F" w14:textId="77777777" w:rsidR="004148F4" w:rsidRDefault="004148F4" w:rsidP="00A24179">
      <w:pPr>
        <w:spacing w:after="0" w:line="360" w:lineRule="auto"/>
        <w:ind w:firstLine="851"/>
        <w:rPr>
          <w:rFonts w:ascii="Arial" w:hAnsi="Arial" w:cs="Arial"/>
        </w:rPr>
      </w:pPr>
    </w:p>
    <w:p w14:paraId="6B972827" w14:textId="0B640EF8" w:rsidR="004148F4" w:rsidRDefault="00E927C6" w:rsidP="00E927C6">
      <w:pPr>
        <w:spacing w:after="0" w:line="360" w:lineRule="auto"/>
        <w:ind w:left="2268" w:firstLine="0"/>
        <w:rPr>
          <w:rFonts w:ascii="Arial" w:hAnsi="Arial" w:cs="Arial"/>
        </w:rPr>
      </w:pPr>
      <w:r>
        <w:rPr>
          <w:rFonts w:ascii="Arial" w:hAnsi="Arial" w:cs="Arial"/>
        </w:rPr>
        <w:t>“</w:t>
      </w:r>
      <w:r w:rsidR="004148F4" w:rsidRPr="004148F4">
        <w:rPr>
          <w:rFonts w:ascii="Arial" w:hAnsi="Arial" w:cs="Arial"/>
        </w:rPr>
        <w:t>Art. 3° Para participar do processo consultivo de que trata esta Lei, os candidatos devem preencher os seguintes requisitos:</w:t>
      </w:r>
    </w:p>
    <w:p w14:paraId="23FE4E43" w14:textId="02E63A96" w:rsidR="004148F4" w:rsidRDefault="004148F4" w:rsidP="00E927C6">
      <w:pPr>
        <w:spacing w:after="0" w:line="360" w:lineRule="auto"/>
        <w:ind w:left="2268" w:firstLine="0"/>
        <w:rPr>
          <w:rFonts w:ascii="Arial" w:hAnsi="Arial" w:cs="Arial"/>
        </w:rPr>
      </w:pPr>
      <w:r>
        <w:rPr>
          <w:rFonts w:ascii="Arial" w:hAnsi="Arial" w:cs="Arial"/>
        </w:rPr>
        <w:t>[...]</w:t>
      </w:r>
    </w:p>
    <w:p w14:paraId="3240412B" w14:textId="520EDE6C" w:rsidR="004148F4" w:rsidRDefault="004148F4" w:rsidP="00E927C6">
      <w:pPr>
        <w:spacing w:after="0" w:line="360" w:lineRule="auto"/>
        <w:ind w:left="2268" w:firstLine="0"/>
        <w:rPr>
          <w:rFonts w:ascii="Arial" w:hAnsi="Arial" w:cs="Arial"/>
        </w:rPr>
      </w:pPr>
      <w:r w:rsidRPr="004148F4">
        <w:rPr>
          <w:rFonts w:ascii="Arial" w:hAnsi="Arial" w:cs="Arial"/>
        </w:rPr>
        <w:t>V - Não ter sido responsabilizado pela prática de irregularidade administrativa, por decisão final em processo administrativo, nos últimos 5 (cinco) anos, e não ter sido condenado em processo criminal e/ou em ação de improbidade administrativa</w:t>
      </w:r>
      <w:r w:rsidR="00E927C6">
        <w:rPr>
          <w:rFonts w:ascii="Arial" w:hAnsi="Arial" w:cs="Arial"/>
        </w:rPr>
        <w:t>”.</w:t>
      </w:r>
    </w:p>
    <w:p w14:paraId="717C7BE8" w14:textId="77777777" w:rsidR="00A24179" w:rsidRDefault="00A24179" w:rsidP="00A24179">
      <w:pPr>
        <w:spacing w:after="0" w:line="360" w:lineRule="auto"/>
        <w:ind w:firstLine="851"/>
        <w:rPr>
          <w:rFonts w:ascii="Arial" w:hAnsi="Arial" w:cs="Arial"/>
        </w:rPr>
      </w:pPr>
    </w:p>
    <w:p w14:paraId="397DF4CE" w14:textId="40936D07" w:rsidR="00A24179" w:rsidRDefault="00A24179" w:rsidP="00A24179">
      <w:pPr>
        <w:spacing w:after="0" w:line="360" w:lineRule="auto"/>
        <w:ind w:firstLine="851"/>
        <w:rPr>
          <w:rFonts w:ascii="Arial" w:hAnsi="Arial" w:cs="Arial"/>
          <w:bCs/>
        </w:rPr>
      </w:pPr>
      <w:r>
        <w:rPr>
          <w:rFonts w:ascii="Arial" w:hAnsi="Arial" w:cs="Arial"/>
          <w:bCs/>
        </w:rPr>
        <w:t xml:space="preserve">Por fim, informo que anexei </w:t>
      </w:r>
      <w:r w:rsidR="004148F4">
        <w:rPr>
          <w:rFonts w:ascii="Arial" w:hAnsi="Arial" w:cs="Arial"/>
          <w:bCs/>
        </w:rPr>
        <w:t>a</w:t>
      </w:r>
      <w:r>
        <w:rPr>
          <w:rFonts w:ascii="Arial" w:hAnsi="Arial" w:cs="Arial"/>
          <w:bCs/>
        </w:rPr>
        <w:t xml:space="preserve"> mencionad</w:t>
      </w:r>
      <w:r w:rsidR="004148F4">
        <w:rPr>
          <w:rFonts w:ascii="Arial" w:hAnsi="Arial" w:cs="Arial"/>
          <w:bCs/>
        </w:rPr>
        <w:t>a norma jurídica</w:t>
      </w:r>
      <w:r w:rsidR="00A63005">
        <w:rPr>
          <w:rFonts w:ascii="Arial" w:hAnsi="Arial" w:cs="Arial"/>
          <w:bCs/>
        </w:rPr>
        <w:t xml:space="preserve"> </w:t>
      </w:r>
      <w:r>
        <w:rPr>
          <w:rFonts w:ascii="Arial" w:hAnsi="Arial" w:cs="Arial"/>
          <w:bCs/>
        </w:rPr>
        <w:t>na aba “Documentos Acessórios” no SAPL</w:t>
      </w:r>
      <w:r>
        <w:rPr>
          <w:rFonts w:ascii="Arial" w:hAnsi="Arial" w:cs="Arial"/>
        </w:rPr>
        <w:t>.</w:t>
      </w:r>
    </w:p>
    <w:p w14:paraId="65E82361" w14:textId="77777777" w:rsidR="00793BE8" w:rsidRDefault="00793BE8" w:rsidP="009C0F30">
      <w:pPr>
        <w:spacing w:after="0" w:line="360" w:lineRule="auto"/>
        <w:ind w:firstLine="0"/>
        <w:rPr>
          <w:rFonts w:ascii="Arial" w:hAnsi="Arial" w:cs="Arial"/>
          <w:bCs/>
        </w:rPr>
      </w:pPr>
    </w:p>
    <w:p w14:paraId="3B55368E" w14:textId="295A7186" w:rsidR="008D55E8" w:rsidRDefault="005704D5" w:rsidP="00B443F4">
      <w:pPr>
        <w:spacing w:after="0" w:line="360" w:lineRule="auto"/>
        <w:ind w:firstLine="851"/>
        <w:rPr>
          <w:rFonts w:ascii="Arial" w:hAnsi="Arial" w:cs="Arial"/>
          <w:bCs/>
        </w:rPr>
      </w:pPr>
      <w:r>
        <w:rPr>
          <w:rFonts w:ascii="Arial" w:hAnsi="Arial" w:cs="Arial"/>
          <w:bCs/>
        </w:rPr>
        <w:t>A pesquisa para esta certidão foi realizada no SAPL e no sistema da Câmara Municipal de Barra do Piraí</w:t>
      </w:r>
      <w:r w:rsidR="00C10AC9">
        <w:rPr>
          <w:rFonts w:ascii="Arial" w:hAnsi="Arial" w:cs="Arial"/>
          <w:bCs/>
        </w:rPr>
        <w:t>.</w:t>
      </w:r>
    </w:p>
    <w:p w14:paraId="37701ACA" w14:textId="77777777" w:rsidR="00B443F4" w:rsidRDefault="00B443F4" w:rsidP="00B443F4">
      <w:pPr>
        <w:spacing w:after="0" w:line="360" w:lineRule="auto"/>
        <w:ind w:firstLine="851"/>
        <w:rPr>
          <w:rFonts w:ascii="Arial" w:hAnsi="Arial" w:cs="Arial"/>
          <w:bCs/>
        </w:rPr>
      </w:pPr>
    </w:p>
    <w:p w14:paraId="7BA9295E" w14:textId="158504CE" w:rsidR="00BA36D1" w:rsidRDefault="00222796" w:rsidP="00A63005">
      <w:pPr>
        <w:spacing w:after="0" w:line="360" w:lineRule="auto"/>
        <w:ind w:firstLine="851"/>
        <w:rPr>
          <w:rFonts w:ascii="Arial" w:hAnsi="Arial" w:cs="Arial"/>
          <w:bCs/>
        </w:rPr>
      </w:pPr>
      <w:r>
        <w:rPr>
          <w:rFonts w:ascii="Arial" w:hAnsi="Arial" w:cs="Arial"/>
          <w:bCs/>
        </w:rPr>
        <w:t>Palavras-chave utilizadas:</w:t>
      </w:r>
      <w:r w:rsidR="006936C5">
        <w:rPr>
          <w:rFonts w:ascii="Arial" w:hAnsi="Arial" w:cs="Arial"/>
          <w:bCs/>
        </w:rPr>
        <w:t xml:space="preserve"> </w:t>
      </w:r>
      <w:r w:rsidR="004148F4">
        <w:rPr>
          <w:rFonts w:ascii="Arial" w:hAnsi="Arial" w:cs="Arial"/>
          <w:bCs/>
        </w:rPr>
        <w:t>Mulher; Violência contra a mulher; Feminicídio; Tentativa de feminicídio; Nomeação; Contratação</w:t>
      </w:r>
      <w:r w:rsidR="00E927C6">
        <w:rPr>
          <w:rFonts w:ascii="Arial" w:hAnsi="Arial" w:cs="Arial"/>
          <w:bCs/>
        </w:rPr>
        <w:t>; Cargo em comissão; Comissão; Função de confiança; Condenação criminal; Pessoas condenadas; Administração Pública</w:t>
      </w:r>
      <w:r w:rsidR="00516BB4">
        <w:rPr>
          <w:rFonts w:ascii="Arial" w:hAnsi="Arial" w:cs="Arial"/>
          <w:bCs/>
        </w:rPr>
        <w:t>.</w:t>
      </w:r>
    </w:p>
    <w:p w14:paraId="7D8F9F5C" w14:textId="77777777" w:rsidR="00A63005" w:rsidRDefault="00A63005" w:rsidP="00A63005">
      <w:pPr>
        <w:spacing w:after="0" w:line="360" w:lineRule="auto"/>
        <w:ind w:firstLine="851"/>
        <w:rPr>
          <w:rFonts w:ascii="Arial" w:hAnsi="Arial" w:cs="Arial"/>
        </w:rPr>
      </w:pPr>
    </w:p>
    <w:p w14:paraId="093E74C4" w14:textId="77777777" w:rsidR="00A63005" w:rsidRDefault="00A63005" w:rsidP="00B30C43">
      <w:pPr>
        <w:tabs>
          <w:tab w:val="right" w:pos="9072"/>
        </w:tabs>
        <w:spacing w:after="0" w:line="360" w:lineRule="auto"/>
        <w:ind w:firstLine="0"/>
        <w:jc w:val="left"/>
        <w:rPr>
          <w:rFonts w:ascii="Arial" w:hAnsi="Arial" w:cs="Arial"/>
        </w:rPr>
      </w:pPr>
    </w:p>
    <w:p w14:paraId="15BD6220" w14:textId="77777777" w:rsidR="00A63005" w:rsidRDefault="00A63005" w:rsidP="00B30C43">
      <w:pPr>
        <w:tabs>
          <w:tab w:val="right" w:pos="9072"/>
        </w:tabs>
        <w:spacing w:after="0" w:line="360" w:lineRule="auto"/>
        <w:ind w:firstLine="0"/>
        <w:jc w:val="left"/>
        <w:rPr>
          <w:rFonts w:ascii="Arial" w:hAnsi="Arial" w:cs="Arial"/>
        </w:rPr>
      </w:pPr>
    </w:p>
    <w:p w14:paraId="362A2097" w14:textId="77777777" w:rsidR="003829A6" w:rsidRDefault="003829A6" w:rsidP="00B30C43">
      <w:pPr>
        <w:tabs>
          <w:tab w:val="right" w:pos="9072"/>
        </w:tabs>
        <w:spacing w:after="0" w:line="360" w:lineRule="auto"/>
        <w:ind w:firstLine="0"/>
        <w:jc w:val="left"/>
        <w:rPr>
          <w:rFonts w:ascii="Arial" w:hAnsi="Arial" w:cs="Arial"/>
        </w:rPr>
      </w:pPr>
    </w:p>
    <w:p w14:paraId="67821ECB" w14:textId="7F37582B" w:rsidR="00B30C43" w:rsidRDefault="00B30C43" w:rsidP="00B30C43">
      <w:pPr>
        <w:tabs>
          <w:tab w:val="right" w:pos="9072"/>
        </w:tabs>
        <w:spacing w:after="0" w:line="360" w:lineRule="auto"/>
        <w:ind w:firstLine="0"/>
        <w:jc w:val="left"/>
        <w:rPr>
          <w:rFonts w:ascii="Arial" w:hAnsi="Arial" w:cs="Arial"/>
        </w:rPr>
      </w:pPr>
      <w:r>
        <w:rPr>
          <w:rFonts w:ascii="Arial" w:hAnsi="Arial" w:cs="Arial"/>
        </w:rPr>
        <w:t>Respeitosamente,</w:t>
      </w:r>
    </w:p>
    <w:p w14:paraId="05E430AF" w14:textId="5B927B12" w:rsidR="00B30C43" w:rsidRDefault="00B30C43" w:rsidP="00B30C43">
      <w:pPr>
        <w:tabs>
          <w:tab w:val="right" w:pos="9072"/>
        </w:tabs>
        <w:spacing w:after="0" w:line="360" w:lineRule="auto"/>
        <w:ind w:firstLine="0"/>
        <w:rPr>
          <w:rFonts w:ascii="Arial" w:hAnsi="Arial" w:cs="Arial"/>
        </w:rPr>
      </w:pPr>
      <w:r>
        <w:rPr>
          <w:rFonts w:ascii="Arial" w:hAnsi="Arial" w:cs="Arial"/>
        </w:rPr>
        <w:t xml:space="preserve">Barra do Piraí, </w:t>
      </w:r>
      <w:r w:rsidR="004148F4">
        <w:rPr>
          <w:rFonts w:ascii="Arial" w:hAnsi="Arial" w:cs="Arial"/>
        </w:rPr>
        <w:t>01</w:t>
      </w:r>
      <w:r w:rsidR="003829A6">
        <w:rPr>
          <w:rFonts w:ascii="Arial" w:hAnsi="Arial" w:cs="Arial"/>
        </w:rPr>
        <w:t xml:space="preserve"> </w:t>
      </w:r>
      <w:r>
        <w:rPr>
          <w:rFonts w:ascii="Arial" w:hAnsi="Arial" w:cs="Arial"/>
        </w:rPr>
        <w:t xml:space="preserve">de </w:t>
      </w:r>
      <w:r w:rsidR="004148F4">
        <w:rPr>
          <w:rFonts w:ascii="Arial" w:hAnsi="Arial" w:cs="Arial"/>
        </w:rPr>
        <w:t>setembro</w:t>
      </w:r>
      <w:r>
        <w:rPr>
          <w:rFonts w:ascii="Arial" w:hAnsi="Arial" w:cs="Arial"/>
        </w:rPr>
        <w:t xml:space="preserve"> de 2025.</w:t>
      </w:r>
      <w:r w:rsidRPr="001E542E">
        <w:rPr>
          <w:rFonts w:ascii="Arial" w:hAnsi="Arial" w:cs="Arial"/>
        </w:rPr>
        <w:t xml:space="preserve"> </w:t>
      </w:r>
      <w:r>
        <w:rPr>
          <w:rFonts w:ascii="Arial" w:hAnsi="Arial" w:cs="Arial"/>
        </w:rPr>
        <w:t xml:space="preserve">                 Sidney Rodrigues de Souza Júnior</w:t>
      </w:r>
    </w:p>
    <w:p w14:paraId="05735FF3" w14:textId="3173D935" w:rsidR="0077740F" w:rsidRPr="00407D41" w:rsidRDefault="00B30C43" w:rsidP="00B30C43">
      <w:pPr>
        <w:tabs>
          <w:tab w:val="right" w:pos="9072"/>
        </w:tabs>
        <w:spacing w:after="0" w:line="360" w:lineRule="auto"/>
        <w:ind w:firstLine="0"/>
        <w:jc w:val="center"/>
        <w:rPr>
          <w:rFonts w:ascii="Arial" w:hAnsi="Arial" w:cs="Arial"/>
        </w:rPr>
      </w:pPr>
      <w:r>
        <w:rPr>
          <w:rFonts w:ascii="Arial" w:hAnsi="Arial" w:cs="Arial"/>
        </w:rPr>
        <w:t xml:space="preserve">                                                                  </w:t>
      </w:r>
      <w:r w:rsidR="00137D3C">
        <w:rPr>
          <w:rFonts w:ascii="Arial" w:hAnsi="Arial" w:cs="Arial"/>
        </w:rPr>
        <w:t xml:space="preserve">         </w:t>
      </w:r>
      <w:r w:rsidR="004148F4">
        <w:rPr>
          <w:rFonts w:ascii="Arial" w:hAnsi="Arial" w:cs="Arial"/>
        </w:rPr>
        <w:t xml:space="preserve">   </w:t>
      </w:r>
      <w:r w:rsidR="00137D3C">
        <w:rPr>
          <w:rFonts w:ascii="Arial" w:hAnsi="Arial" w:cs="Arial"/>
        </w:rPr>
        <w:t xml:space="preserve"> </w:t>
      </w:r>
      <w:r>
        <w:rPr>
          <w:rFonts w:ascii="Arial" w:hAnsi="Arial" w:cs="Arial"/>
        </w:rPr>
        <w:t>Técnico Operacional</w:t>
      </w:r>
    </w:p>
    <w:sectPr w:rsidR="0077740F" w:rsidRPr="00407D41" w:rsidSect="00A63005">
      <w:headerReference w:type="default" r:id="rId7"/>
      <w:footerReference w:type="default" r:id="rId8"/>
      <w:pgSz w:w="11907" w:h="16840"/>
      <w:pgMar w:top="1701" w:right="1134" w:bottom="1134" w:left="1701" w:header="62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2DBD" w14:textId="77777777" w:rsidR="00EF231A" w:rsidRDefault="00EF231A">
      <w:pPr>
        <w:spacing w:after="0" w:line="240" w:lineRule="auto"/>
      </w:pPr>
      <w:r>
        <w:separator/>
      </w:r>
    </w:p>
  </w:endnote>
  <w:endnote w:type="continuationSeparator" w:id="0">
    <w:p w14:paraId="001BB9E6" w14:textId="77777777" w:rsidR="00EF231A" w:rsidRDefault="00EF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31AC" w14:textId="77777777" w:rsidR="00CF199F" w:rsidRDefault="00CF199F">
    <w:pPr>
      <w:pBdr>
        <w:top w:val="nil"/>
        <w:left w:val="nil"/>
        <w:bottom w:val="nil"/>
        <w:right w:val="nil"/>
        <w:between w:val="nil"/>
      </w:pBdr>
      <w:tabs>
        <w:tab w:val="center" w:pos="4419"/>
        <w:tab w:val="right" w:pos="8838"/>
      </w:tabs>
      <w:spacing w:before="120" w:after="120" w:line="240" w:lineRule="auto"/>
      <w:ind w:firstLine="851"/>
      <w:jc w:val="right"/>
      <w:rPr>
        <w:color w:val="000000"/>
        <w:sz w:val="14"/>
        <w:szCs w:val="14"/>
      </w:rPr>
    </w:pPr>
    <w:r>
      <w:rPr>
        <w:color w:val="000000"/>
        <w:sz w:val="14"/>
        <w:szCs w:val="14"/>
      </w:rPr>
      <w:t xml:space="preserve">Página </w:t>
    </w:r>
    <w:r w:rsidR="00B368CA">
      <w:rPr>
        <w:b/>
        <w:color w:val="000000"/>
        <w:sz w:val="14"/>
        <w:szCs w:val="14"/>
      </w:rPr>
      <w:fldChar w:fldCharType="begin"/>
    </w:r>
    <w:r>
      <w:rPr>
        <w:b/>
        <w:color w:val="000000"/>
        <w:sz w:val="14"/>
        <w:szCs w:val="14"/>
      </w:rPr>
      <w:instrText>PAGE</w:instrText>
    </w:r>
    <w:r w:rsidR="00B368CA">
      <w:rPr>
        <w:b/>
        <w:color w:val="000000"/>
        <w:sz w:val="14"/>
        <w:szCs w:val="14"/>
      </w:rPr>
      <w:fldChar w:fldCharType="separate"/>
    </w:r>
    <w:r w:rsidR="009E4330">
      <w:rPr>
        <w:b/>
        <w:noProof/>
        <w:color w:val="000000"/>
        <w:sz w:val="14"/>
        <w:szCs w:val="14"/>
      </w:rPr>
      <w:t>2</w:t>
    </w:r>
    <w:r w:rsidR="00B368CA">
      <w:rPr>
        <w:b/>
        <w:color w:val="000000"/>
        <w:sz w:val="14"/>
        <w:szCs w:val="14"/>
      </w:rPr>
      <w:fldChar w:fldCharType="end"/>
    </w:r>
    <w:r>
      <w:rPr>
        <w:color w:val="000000"/>
        <w:sz w:val="14"/>
        <w:szCs w:val="14"/>
      </w:rPr>
      <w:t xml:space="preserve"> de </w:t>
    </w:r>
    <w:r w:rsidR="00B368CA">
      <w:rPr>
        <w:b/>
        <w:color w:val="000000"/>
        <w:sz w:val="14"/>
        <w:szCs w:val="14"/>
      </w:rPr>
      <w:fldChar w:fldCharType="begin"/>
    </w:r>
    <w:r>
      <w:rPr>
        <w:b/>
        <w:color w:val="000000"/>
        <w:sz w:val="14"/>
        <w:szCs w:val="14"/>
      </w:rPr>
      <w:instrText>NUMPAGES</w:instrText>
    </w:r>
    <w:r w:rsidR="00B368CA">
      <w:rPr>
        <w:b/>
        <w:color w:val="000000"/>
        <w:sz w:val="14"/>
        <w:szCs w:val="14"/>
      </w:rPr>
      <w:fldChar w:fldCharType="separate"/>
    </w:r>
    <w:r w:rsidR="009E4330">
      <w:rPr>
        <w:b/>
        <w:noProof/>
        <w:color w:val="000000"/>
        <w:sz w:val="14"/>
        <w:szCs w:val="14"/>
      </w:rPr>
      <w:t>2</w:t>
    </w:r>
    <w:r w:rsidR="00B368CA">
      <w:rPr>
        <w:b/>
        <w:color w:val="000000"/>
        <w:sz w:val="14"/>
        <w:szCs w:val="14"/>
      </w:rPr>
      <w:fldChar w:fldCharType="end"/>
    </w:r>
  </w:p>
  <w:p w14:paraId="7B433E7D" w14:textId="77777777"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sz w:val="18"/>
        <w:szCs w:val="18"/>
      </w:rPr>
    </w:pPr>
    <w:r>
      <w:rPr>
        <w:color w:val="000000"/>
        <w:sz w:val="18"/>
        <w:szCs w:val="18"/>
      </w:rPr>
      <w:t xml:space="preserve">Praça Nilo Peçanha, Nº 7 – Centro – Barra do Piraí, RJ – CEP: 27123-020 </w:t>
    </w:r>
  </w:p>
  <w:p w14:paraId="5DC14BA7" w14:textId="77777777"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sz w:val="18"/>
        <w:szCs w:val="18"/>
      </w:rPr>
    </w:pPr>
    <w:r>
      <w:rPr>
        <w:color w:val="000000"/>
        <w:sz w:val="18"/>
        <w:szCs w:val="18"/>
      </w:rPr>
      <w:t xml:space="preserve">Telefone: (24) </w:t>
    </w:r>
    <w:r>
      <w:rPr>
        <w:sz w:val="18"/>
        <w:szCs w:val="18"/>
      </w:rPr>
      <w:t>2447-1248</w:t>
    </w:r>
  </w:p>
  <w:p w14:paraId="5B802473" w14:textId="77777777" w:rsidR="00CF199F" w:rsidRDefault="00CF199F">
    <w:pPr>
      <w:pBdr>
        <w:top w:val="nil"/>
        <w:left w:val="nil"/>
        <w:bottom w:val="nil"/>
        <w:right w:val="nil"/>
        <w:between w:val="nil"/>
      </w:pBdr>
      <w:tabs>
        <w:tab w:val="center" w:pos="4419"/>
        <w:tab w:val="right" w:pos="8838"/>
      </w:tabs>
      <w:spacing w:after="200" w:line="240" w:lineRule="auto"/>
      <w:ind w:firstLine="0"/>
      <w:jc w:val="center"/>
      <w:rPr>
        <w:color w:val="000000"/>
        <w:sz w:val="18"/>
        <w:szCs w:val="18"/>
      </w:rPr>
    </w:pPr>
    <w:r>
      <w:rPr>
        <w:color w:val="000000"/>
        <w:sz w:val="18"/>
        <w:szCs w:val="18"/>
      </w:rPr>
      <w:t xml:space="preserve">E-mail: </w:t>
    </w:r>
    <w:r>
      <w:rPr>
        <w:sz w:val="18"/>
        <w:szCs w:val="18"/>
      </w:rPr>
      <w:t>arquivo@barradopirai.rj.leg.br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F4DE" w14:textId="77777777" w:rsidR="00EF231A" w:rsidRDefault="00EF231A">
      <w:pPr>
        <w:spacing w:after="0" w:line="240" w:lineRule="auto"/>
      </w:pPr>
      <w:r>
        <w:separator/>
      </w:r>
    </w:p>
  </w:footnote>
  <w:footnote w:type="continuationSeparator" w:id="0">
    <w:p w14:paraId="7A7872D9" w14:textId="77777777" w:rsidR="00EF231A" w:rsidRDefault="00EF2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4C69" w14:textId="77777777"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rPr>
    </w:pPr>
    <w:r>
      <w:rPr>
        <w:noProof/>
        <w:color w:val="000000"/>
      </w:rPr>
      <w:drawing>
        <wp:inline distT="0" distB="0" distL="0" distR="0" wp14:anchorId="221E1686" wp14:editId="7752DC2E">
          <wp:extent cx="3041366" cy="1099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1366" cy="10991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966"/>
    <w:multiLevelType w:val="hybridMultilevel"/>
    <w:tmpl w:val="02AE4AF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1BE12A95"/>
    <w:multiLevelType w:val="hybridMultilevel"/>
    <w:tmpl w:val="B80E67FA"/>
    <w:lvl w:ilvl="0" w:tplc="04160001">
      <w:start w:val="1"/>
      <w:numFmt w:val="bullet"/>
      <w:lvlText w:val=""/>
      <w:lvlJc w:val="left"/>
      <w:pPr>
        <w:ind w:left="2291" w:hanging="360"/>
      </w:pPr>
      <w:rPr>
        <w:rFonts w:ascii="Symbol" w:hAnsi="Symbol" w:hint="default"/>
      </w:rPr>
    </w:lvl>
    <w:lvl w:ilvl="1" w:tplc="04160003" w:tentative="1">
      <w:start w:val="1"/>
      <w:numFmt w:val="bullet"/>
      <w:lvlText w:val="o"/>
      <w:lvlJc w:val="left"/>
      <w:pPr>
        <w:ind w:left="3011" w:hanging="360"/>
      </w:pPr>
      <w:rPr>
        <w:rFonts w:ascii="Courier New" w:hAnsi="Courier New" w:cs="Courier New" w:hint="default"/>
      </w:rPr>
    </w:lvl>
    <w:lvl w:ilvl="2" w:tplc="04160005" w:tentative="1">
      <w:start w:val="1"/>
      <w:numFmt w:val="bullet"/>
      <w:lvlText w:val=""/>
      <w:lvlJc w:val="left"/>
      <w:pPr>
        <w:ind w:left="3731" w:hanging="360"/>
      </w:pPr>
      <w:rPr>
        <w:rFonts w:ascii="Wingdings" w:hAnsi="Wingdings" w:hint="default"/>
      </w:rPr>
    </w:lvl>
    <w:lvl w:ilvl="3" w:tplc="04160001" w:tentative="1">
      <w:start w:val="1"/>
      <w:numFmt w:val="bullet"/>
      <w:lvlText w:val=""/>
      <w:lvlJc w:val="left"/>
      <w:pPr>
        <w:ind w:left="4451" w:hanging="360"/>
      </w:pPr>
      <w:rPr>
        <w:rFonts w:ascii="Symbol" w:hAnsi="Symbol" w:hint="default"/>
      </w:rPr>
    </w:lvl>
    <w:lvl w:ilvl="4" w:tplc="04160003" w:tentative="1">
      <w:start w:val="1"/>
      <w:numFmt w:val="bullet"/>
      <w:lvlText w:val="o"/>
      <w:lvlJc w:val="left"/>
      <w:pPr>
        <w:ind w:left="5171" w:hanging="360"/>
      </w:pPr>
      <w:rPr>
        <w:rFonts w:ascii="Courier New" w:hAnsi="Courier New" w:cs="Courier New" w:hint="default"/>
      </w:rPr>
    </w:lvl>
    <w:lvl w:ilvl="5" w:tplc="04160005" w:tentative="1">
      <w:start w:val="1"/>
      <w:numFmt w:val="bullet"/>
      <w:lvlText w:val=""/>
      <w:lvlJc w:val="left"/>
      <w:pPr>
        <w:ind w:left="5891" w:hanging="360"/>
      </w:pPr>
      <w:rPr>
        <w:rFonts w:ascii="Wingdings" w:hAnsi="Wingdings" w:hint="default"/>
      </w:rPr>
    </w:lvl>
    <w:lvl w:ilvl="6" w:tplc="04160001" w:tentative="1">
      <w:start w:val="1"/>
      <w:numFmt w:val="bullet"/>
      <w:lvlText w:val=""/>
      <w:lvlJc w:val="left"/>
      <w:pPr>
        <w:ind w:left="6611" w:hanging="360"/>
      </w:pPr>
      <w:rPr>
        <w:rFonts w:ascii="Symbol" w:hAnsi="Symbol" w:hint="default"/>
      </w:rPr>
    </w:lvl>
    <w:lvl w:ilvl="7" w:tplc="04160003" w:tentative="1">
      <w:start w:val="1"/>
      <w:numFmt w:val="bullet"/>
      <w:lvlText w:val="o"/>
      <w:lvlJc w:val="left"/>
      <w:pPr>
        <w:ind w:left="7331" w:hanging="360"/>
      </w:pPr>
      <w:rPr>
        <w:rFonts w:ascii="Courier New" w:hAnsi="Courier New" w:cs="Courier New" w:hint="default"/>
      </w:rPr>
    </w:lvl>
    <w:lvl w:ilvl="8" w:tplc="04160005" w:tentative="1">
      <w:start w:val="1"/>
      <w:numFmt w:val="bullet"/>
      <w:lvlText w:val=""/>
      <w:lvlJc w:val="left"/>
      <w:pPr>
        <w:ind w:left="8051" w:hanging="360"/>
      </w:pPr>
      <w:rPr>
        <w:rFonts w:ascii="Wingdings" w:hAnsi="Wingdings" w:hint="default"/>
      </w:rPr>
    </w:lvl>
  </w:abstractNum>
  <w:abstractNum w:abstractNumId="2" w15:restartNumberingAfterBreak="0">
    <w:nsid w:val="1FD310F0"/>
    <w:multiLevelType w:val="hybridMultilevel"/>
    <w:tmpl w:val="9E06F0B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15:restartNumberingAfterBreak="0">
    <w:nsid w:val="236343CD"/>
    <w:multiLevelType w:val="hybridMultilevel"/>
    <w:tmpl w:val="882EE90E"/>
    <w:lvl w:ilvl="0" w:tplc="04160001">
      <w:start w:val="1"/>
      <w:numFmt w:val="bullet"/>
      <w:lvlText w:val=""/>
      <w:lvlJc w:val="left"/>
      <w:pPr>
        <w:ind w:left="1635" w:hanging="360"/>
      </w:pPr>
      <w:rPr>
        <w:rFonts w:ascii="Symbol" w:hAnsi="Symbol" w:hint="default"/>
      </w:rPr>
    </w:lvl>
    <w:lvl w:ilvl="1" w:tplc="04160003" w:tentative="1">
      <w:start w:val="1"/>
      <w:numFmt w:val="bullet"/>
      <w:lvlText w:val="o"/>
      <w:lvlJc w:val="left"/>
      <w:pPr>
        <w:ind w:left="2355" w:hanging="360"/>
      </w:pPr>
      <w:rPr>
        <w:rFonts w:ascii="Courier New" w:hAnsi="Courier New" w:cs="Courier New" w:hint="default"/>
      </w:rPr>
    </w:lvl>
    <w:lvl w:ilvl="2" w:tplc="04160005" w:tentative="1">
      <w:start w:val="1"/>
      <w:numFmt w:val="bullet"/>
      <w:lvlText w:val=""/>
      <w:lvlJc w:val="left"/>
      <w:pPr>
        <w:ind w:left="3075" w:hanging="360"/>
      </w:pPr>
      <w:rPr>
        <w:rFonts w:ascii="Wingdings" w:hAnsi="Wingdings" w:hint="default"/>
      </w:rPr>
    </w:lvl>
    <w:lvl w:ilvl="3" w:tplc="04160001" w:tentative="1">
      <w:start w:val="1"/>
      <w:numFmt w:val="bullet"/>
      <w:lvlText w:val=""/>
      <w:lvlJc w:val="left"/>
      <w:pPr>
        <w:ind w:left="3795" w:hanging="360"/>
      </w:pPr>
      <w:rPr>
        <w:rFonts w:ascii="Symbol" w:hAnsi="Symbol" w:hint="default"/>
      </w:rPr>
    </w:lvl>
    <w:lvl w:ilvl="4" w:tplc="04160003" w:tentative="1">
      <w:start w:val="1"/>
      <w:numFmt w:val="bullet"/>
      <w:lvlText w:val="o"/>
      <w:lvlJc w:val="left"/>
      <w:pPr>
        <w:ind w:left="4515" w:hanging="360"/>
      </w:pPr>
      <w:rPr>
        <w:rFonts w:ascii="Courier New" w:hAnsi="Courier New" w:cs="Courier New" w:hint="default"/>
      </w:rPr>
    </w:lvl>
    <w:lvl w:ilvl="5" w:tplc="04160005" w:tentative="1">
      <w:start w:val="1"/>
      <w:numFmt w:val="bullet"/>
      <w:lvlText w:val=""/>
      <w:lvlJc w:val="left"/>
      <w:pPr>
        <w:ind w:left="5235" w:hanging="360"/>
      </w:pPr>
      <w:rPr>
        <w:rFonts w:ascii="Wingdings" w:hAnsi="Wingdings" w:hint="default"/>
      </w:rPr>
    </w:lvl>
    <w:lvl w:ilvl="6" w:tplc="04160001" w:tentative="1">
      <w:start w:val="1"/>
      <w:numFmt w:val="bullet"/>
      <w:lvlText w:val=""/>
      <w:lvlJc w:val="left"/>
      <w:pPr>
        <w:ind w:left="5955" w:hanging="360"/>
      </w:pPr>
      <w:rPr>
        <w:rFonts w:ascii="Symbol" w:hAnsi="Symbol" w:hint="default"/>
      </w:rPr>
    </w:lvl>
    <w:lvl w:ilvl="7" w:tplc="04160003" w:tentative="1">
      <w:start w:val="1"/>
      <w:numFmt w:val="bullet"/>
      <w:lvlText w:val="o"/>
      <w:lvlJc w:val="left"/>
      <w:pPr>
        <w:ind w:left="6675" w:hanging="360"/>
      </w:pPr>
      <w:rPr>
        <w:rFonts w:ascii="Courier New" w:hAnsi="Courier New" w:cs="Courier New" w:hint="default"/>
      </w:rPr>
    </w:lvl>
    <w:lvl w:ilvl="8" w:tplc="04160005" w:tentative="1">
      <w:start w:val="1"/>
      <w:numFmt w:val="bullet"/>
      <w:lvlText w:val=""/>
      <w:lvlJc w:val="left"/>
      <w:pPr>
        <w:ind w:left="7395" w:hanging="360"/>
      </w:pPr>
      <w:rPr>
        <w:rFonts w:ascii="Wingdings" w:hAnsi="Wingdings" w:hint="default"/>
      </w:rPr>
    </w:lvl>
  </w:abstractNum>
  <w:abstractNum w:abstractNumId="4" w15:restartNumberingAfterBreak="0">
    <w:nsid w:val="32F92D97"/>
    <w:multiLevelType w:val="hybridMultilevel"/>
    <w:tmpl w:val="5648892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5" w15:restartNumberingAfterBreak="0">
    <w:nsid w:val="59D51B7A"/>
    <w:multiLevelType w:val="hybridMultilevel"/>
    <w:tmpl w:val="850A342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15:restartNumberingAfterBreak="0">
    <w:nsid w:val="6D967102"/>
    <w:multiLevelType w:val="hybridMultilevel"/>
    <w:tmpl w:val="414C7A8C"/>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num w:numId="1" w16cid:durableId="1245578141">
    <w:abstractNumId w:val="6"/>
  </w:num>
  <w:num w:numId="2" w16cid:durableId="786118771">
    <w:abstractNumId w:val="3"/>
  </w:num>
  <w:num w:numId="3" w16cid:durableId="1496726749">
    <w:abstractNumId w:val="0"/>
  </w:num>
  <w:num w:numId="4" w16cid:durableId="563949655">
    <w:abstractNumId w:val="4"/>
  </w:num>
  <w:num w:numId="5" w16cid:durableId="1034162290">
    <w:abstractNumId w:val="5"/>
  </w:num>
  <w:num w:numId="6" w16cid:durableId="2077392763">
    <w:abstractNumId w:val="1"/>
  </w:num>
  <w:num w:numId="7" w16cid:durableId="276983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0F"/>
    <w:rsid w:val="00024C6A"/>
    <w:rsid w:val="00036540"/>
    <w:rsid w:val="00046E95"/>
    <w:rsid w:val="00060CBB"/>
    <w:rsid w:val="000611C9"/>
    <w:rsid w:val="00061D88"/>
    <w:rsid w:val="000803CD"/>
    <w:rsid w:val="00090AA0"/>
    <w:rsid w:val="0009190D"/>
    <w:rsid w:val="000A1785"/>
    <w:rsid w:val="000A47EA"/>
    <w:rsid w:val="000C5EB7"/>
    <w:rsid w:val="000D2FAC"/>
    <w:rsid w:val="000D34B1"/>
    <w:rsid w:val="000E17C4"/>
    <w:rsid w:val="000E362D"/>
    <w:rsid w:val="00112A2D"/>
    <w:rsid w:val="00126321"/>
    <w:rsid w:val="00127880"/>
    <w:rsid w:val="00137D3C"/>
    <w:rsid w:val="001401D8"/>
    <w:rsid w:val="0014207F"/>
    <w:rsid w:val="001541F2"/>
    <w:rsid w:val="00156786"/>
    <w:rsid w:val="00174349"/>
    <w:rsid w:val="00194B4C"/>
    <w:rsid w:val="00196247"/>
    <w:rsid w:val="001978A0"/>
    <w:rsid w:val="001B612A"/>
    <w:rsid w:val="001C5DF0"/>
    <w:rsid w:val="001E0758"/>
    <w:rsid w:val="00213EA1"/>
    <w:rsid w:val="00220A2C"/>
    <w:rsid w:val="00222796"/>
    <w:rsid w:val="00230590"/>
    <w:rsid w:val="00230B7E"/>
    <w:rsid w:val="00230E0F"/>
    <w:rsid w:val="00231BF3"/>
    <w:rsid w:val="00240DBB"/>
    <w:rsid w:val="00254BDA"/>
    <w:rsid w:val="00265040"/>
    <w:rsid w:val="002730CC"/>
    <w:rsid w:val="00282AC6"/>
    <w:rsid w:val="002A6777"/>
    <w:rsid w:val="002A7474"/>
    <w:rsid w:val="002B7B35"/>
    <w:rsid w:val="002F6833"/>
    <w:rsid w:val="0031162B"/>
    <w:rsid w:val="00316D06"/>
    <w:rsid w:val="00320CE6"/>
    <w:rsid w:val="00325781"/>
    <w:rsid w:val="003329AB"/>
    <w:rsid w:val="00332A28"/>
    <w:rsid w:val="00346640"/>
    <w:rsid w:val="003616FF"/>
    <w:rsid w:val="00362F30"/>
    <w:rsid w:val="00370029"/>
    <w:rsid w:val="00374FE1"/>
    <w:rsid w:val="003829A6"/>
    <w:rsid w:val="003C21D1"/>
    <w:rsid w:val="003C3E15"/>
    <w:rsid w:val="003D56A8"/>
    <w:rsid w:val="003D662F"/>
    <w:rsid w:val="003E0F84"/>
    <w:rsid w:val="003F16BC"/>
    <w:rsid w:val="003F4E3B"/>
    <w:rsid w:val="004043D1"/>
    <w:rsid w:val="00404449"/>
    <w:rsid w:val="00407D41"/>
    <w:rsid w:val="00407FFE"/>
    <w:rsid w:val="00411DF8"/>
    <w:rsid w:val="004148F4"/>
    <w:rsid w:val="004252AC"/>
    <w:rsid w:val="0042759D"/>
    <w:rsid w:val="004339E6"/>
    <w:rsid w:val="00437EE1"/>
    <w:rsid w:val="004428B9"/>
    <w:rsid w:val="00451BF3"/>
    <w:rsid w:val="00467452"/>
    <w:rsid w:val="00476B4C"/>
    <w:rsid w:val="004809F1"/>
    <w:rsid w:val="00487EE5"/>
    <w:rsid w:val="004A5C2E"/>
    <w:rsid w:val="004B23A2"/>
    <w:rsid w:val="004B54F4"/>
    <w:rsid w:val="004B637A"/>
    <w:rsid w:val="004C54B5"/>
    <w:rsid w:val="004E1953"/>
    <w:rsid w:val="004E5604"/>
    <w:rsid w:val="004E5B6D"/>
    <w:rsid w:val="004F0668"/>
    <w:rsid w:val="004F0F1E"/>
    <w:rsid w:val="004F11DC"/>
    <w:rsid w:val="00507759"/>
    <w:rsid w:val="00515B2C"/>
    <w:rsid w:val="00516BB4"/>
    <w:rsid w:val="00517ACC"/>
    <w:rsid w:val="00524C7F"/>
    <w:rsid w:val="00530ABC"/>
    <w:rsid w:val="0053338C"/>
    <w:rsid w:val="0053438B"/>
    <w:rsid w:val="0055108E"/>
    <w:rsid w:val="00556922"/>
    <w:rsid w:val="00562F21"/>
    <w:rsid w:val="005704D5"/>
    <w:rsid w:val="00581F84"/>
    <w:rsid w:val="00584327"/>
    <w:rsid w:val="00593B61"/>
    <w:rsid w:val="00594BD2"/>
    <w:rsid w:val="005959EA"/>
    <w:rsid w:val="00596625"/>
    <w:rsid w:val="005A6B28"/>
    <w:rsid w:val="005C0841"/>
    <w:rsid w:val="005C25E8"/>
    <w:rsid w:val="005C7050"/>
    <w:rsid w:val="005D75B8"/>
    <w:rsid w:val="005E0041"/>
    <w:rsid w:val="005F5557"/>
    <w:rsid w:val="006022A8"/>
    <w:rsid w:val="0063338B"/>
    <w:rsid w:val="00656B53"/>
    <w:rsid w:val="006936C5"/>
    <w:rsid w:val="006A3F22"/>
    <w:rsid w:val="006B0EF3"/>
    <w:rsid w:val="006C6DB9"/>
    <w:rsid w:val="006C6E27"/>
    <w:rsid w:val="006D1639"/>
    <w:rsid w:val="006E038E"/>
    <w:rsid w:val="006E086B"/>
    <w:rsid w:val="006E0D2A"/>
    <w:rsid w:val="00700406"/>
    <w:rsid w:val="00704F4E"/>
    <w:rsid w:val="007173DC"/>
    <w:rsid w:val="007258CC"/>
    <w:rsid w:val="0073016E"/>
    <w:rsid w:val="007354E9"/>
    <w:rsid w:val="0074709A"/>
    <w:rsid w:val="00747C22"/>
    <w:rsid w:val="00767C9A"/>
    <w:rsid w:val="0077740F"/>
    <w:rsid w:val="00793BE8"/>
    <w:rsid w:val="007B2072"/>
    <w:rsid w:val="007B48BB"/>
    <w:rsid w:val="007D6232"/>
    <w:rsid w:val="007E694F"/>
    <w:rsid w:val="007F04A7"/>
    <w:rsid w:val="007F3F17"/>
    <w:rsid w:val="007F4C48"/>
    <w:rsid w:val="007F65F3"/>
    <w:rsid w:val="008076F5"/>
    <w:rsid w:val="00810B70"/>
    <w:rsid w:val="00834013"/>
    <w:rsid w:val="00837EAD"/>
    <w:rsid w:val="00841566"/>
    <w:rsid w:val="00863F29"/>
    <w:rsid w:val="0087058D"/>
    <w:rsid w:val="0089031A"/>
    <w:rsid w:val="008936C1"/>
    <w:rsid w:val="008A177B"/>
    <w:rsid w:val="008A7D4E"/>
    <w:rsid w:val="008B0170"/>
    <w:rsid w:val="008B10AC"/>
    <w:rsid w:val="008B36C3"/>
    <w:rsid w:val="008B63E0"/>
    <w:rsid w:val="008C4ACD"/>
    <w:rsid w:val="008D0FBD"/>
    <w:rsid w:val="008D2D17"/>
    <w:rsid w:val="008D43BA"/>
    <w:rsid w:val="008D55E8"/>
    <w:rsid w:val="008D5DB6"/>
    <w:rsid w:val="008E51B0"/>
    <w:rsid w:val="008F0A83"/>
    <w:rsid w:val="00905B70"/>
    <w:rsid w:val="00920034"/>
    <w:rsid w:val="00925327"/>
    <w:rsid w:val="0093111C"/>
    <w:rsid w:val="00947DE4"/>
    <w:rsid w:val="0095243F"/>
    <w:rsid w:val="00952B6D"/>
    <w:rsid w:val="00957489"/>
    <w:rsid w:val="0098665E"/>
    <w:rsid w:val="009A099E"/>
    <w:rsid w:val="009B2EB4"/>
    <w:rsid w:val="009C0194"/>
    <w:rsid w:val="009C0F30"/>
    <w:rsid w:val="009C5458"/>
    <w:rsid w:val="009E1168"/>
    <w:rsid w:val="009E4330"/>
    <w:rsid w:val="009E6816"/>
    <w:rsid w:val="009F0FDA"/>
    <w:rsid w:val="009F19F6"/>
    <w:rsid w:val="009F1AA7"/>
    <w:rsid w:val="009F50BD"/>
    <w:rsid w:val="00A066E1"/>
    <w:rsid w:val="00A1799B"/>
    <w:rsid w:val="00A213C8"/>
    <w:rsid w:val="00A24179"/>
    <w:rsid w:val="00A31181"/>
    <w:rsid w:val="00A57E61"/>
    <w:rsid w:val="00A6259D"/>
    <w:rsid w:val="00A63005"/>
    <w:rsid w:val="00A63290"/>
    <w:rsid w:val="00A6340C"/>
    <w:rsid w:val="00A63A30"/>
    <w:rsid w:val="00A72BA4"/>
    <w:rsid w:val="00A7301E"/>
    <w:rsid w:val="00A73580"/>
    <w:rsid w:val="00A75BEF"/>
    <w:rsid w:val="00A84BC3"/>
    <w:rsid w:val="00AA60CC"/>
    <w:rsid w:val="00AD1098"/>
    <w:rsid w:val="00AE4C12"/>
    <w:rsid w:val="00AF3283"/>
    <w:rsid w:val="00AF593C"/>
    <w:rsid w:val="00AF7076"/>
    <w:rsid w:val="00B069A1"/>
    <w:rsid w:val="00B30C43"/>
    <w:rsid w:val="00B368CA"/>
    <w:rsid w:val="00B40B65"/>
    <w:rsid w:val="00B443F4"/>
    <w:rsid w:val="00B46AC0"/>
    <w:rsid w:val="00B55FDC"/>
    <w:rsid w:val="00B60CA4"/>
    <w:rsid w:val="00B6640F"/>
    <w:rsid w:val="00B84E76"/>
    <w:rsid w:val="00BA36D1"/>
    <w:rsid w:val="00BB0142"/>
    <w:rsid w:val="00BD1BDB"/>
    <w:rsid w:val="00BD6A6B"/>
    <w:rsid w:val="00BF4601"/>
    <w:rsid w:val="00BF79D4"/>
    <w:rsid w:val="00C10AC9"/>
    <w:rsid w:val="00C228FA"/>
    <w:rsid w:val="00C27464"/>
    <w:rsid w:val="00C321EC"/>
    <w:rsid w:val="00C6592A"/>
    <w:rsid w:val="00C74798"/>
    <w:rsid w:val="00C76C10"/>
    <w:rsid w:val="00C85E0C"/>
    <w:rsid w:val="00C87134"/>
    <w:rsid w:val="00C92D67"/>
    <w:rsid w:val="00C95B7D"/>
    <w:rsid w:val="00CA202F"/>
    <w:rsid w:val="00CB5930"/>
    <w:rsid w:val="00CC25D7"/>
    <w:rsid w:val="00CD602A"/>
    <w:rsid w:val="00CF199F"/>
    <w:rsid w:val="00D3028B"/>
    <w:rsid w:val="00D32F31"/>
    <w:rsid w:val="00D46CCA"/>
    <w:rsid w:val="00D56CD9"/>
    <w:rsid w:val="00D6098D"/>
    <w:rsid w:val="00D84E1D"/>
    <w:rsid w:val="00D95FFC"/>
    <w:rsid w:val="00DB601B"/>
    <w:rsid w:val="00DC1994"/>
    <w:rsid w:val="00DC1DAF"/>
    <w:rsid w:val="00DE2FD7"/>
    <w:rsid w:val="00DE72B2"/>
    <w:rsid w:val="00DE7BBE"/>
    <w:rsid w:val="00DF6A4D"/>
    <w:rsid w:val="00E02F58"/>
    <w:rsid w:val="00E36103"/>
    <w:rsid w:val="00E457CB"/>
    <w:rsid w:val="00E4743A"/>
    <w:rsid w:val="00E51C19"/>
    <w:rsid w:val="00E5553E"/>
    <w:rsid w:val="00E842E0"/>
    <w:rsid w:val="00E84669"/>
    <w:rsid w:val="00E927C6"/>
    <w:rsid w:val="00EA3FC5"/>
    <w:rsid w:val="00EC015E"/>
    <w:rsid w:val="00EC1E77"/>
    <w:rsid w:val="00EE1C2E"/>
    <w:rsid w:val="00EE32B2"/>
    <w:rsid w:val="00EE3AD9"/>
    <w:rsid w:val="00EE4203"/>
    <w:rsid w:val="00EF231A"/>
    <w:rsid w:val="00F023C1"/>
    <w:rsid w:val="00F2212C"/>
    <w:rsid w:val="00F27D6B"/>
    <w:rsid w:val="00F358CC"/>
    <w:rsid w:val="00F37EF7"/>
    <w:rsid w:val="00F51F7A"/>
    <w:rsid w:val="00F91907"/>
    <w:rsid w:val="00F96805"/>
    <w:rsid w:val="00F97435"/>
    <w:rsid w:val="00FA1995"/>
    <w:rsid w:val="00FA5868"/>
    <w:rsid w:val="00FC09E6"/>
    <w:rsid w:val="00FC62C2"/>
    <w:rsid w:val="00FD4CD3"/>
    <w:rsid w:val="00FD66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622"/>
  <w15:docId w15:val="{B28C4CF5-D385-4FCB-9C98-4344F6C0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spacing w:after="120"/>
      <w:ind w:firstLine="0"/>
      <w:outlineLvl w:val="0"/>
    </w:pPr>
    <w:rPr>
      <w:rFonts w:ascii="Tinos" w:eastAsia="Tinos" w:hAnsi="Tinos" w:cs="Tinos"/>
      <w:b/>
    </w:rPr>
  </w:style>
  <w:style w:type="paragraph" w:styleId="Ttulo2">
    <w:name w:val="heading 2"/>
    <w:basedOn w:val="Normal"/>
    <w:next w:val="Normal"/>
    <w:pPr>
      <w:ind w:firstLine="0"/>
      <w:jc w:val="center"/>
      <w:outlineLvl w:val="1"/>
    </w:pPr>
    <w:rPr>
      <w:rFonts w:ascii="Tinos" w:eastAsia="Tinos" w:hAnsi="Tinos" w:cs="Tinos"/>
    </w:rPr>
  </w:style>
  <w:style w:type="paragraph" w:styleId="Ttulo3">
    <w:name w:val="heading 3"/>
    <w:basedOn w:val="Normal"/>
    <w:next w:val="Normal"/>
    <w:pPr>
      <w:pBdr>
        <w:top w:val="single" w:sz="8" w:space="2" w:color="000000"/>
        <w:left w:val="single" w:sz="8" w:space="2" w:color="000000"/>
        <w:bottom w:val="single" w:sz="8" w:space="2" w:color="000000"/>
        <w:right w:val="single" w:sz="8" w:space="2" w:color="000000"/>
      </w:pBd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0"/>
      <w:szCs w:val="20"/>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470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709A"/>
    <w:rPr>
      <w:rFonts w:ascii="Tahoma" w:hAnsi="Tahoma" w:cs="Tahoma"/>
      <w:sz w:val="16"/>
      <w:szCs w:val="16"/>
    </w:rPr>
  </w:style>
  <w:style w:type="paragraph" w:styleId="Cabealho">
    <w:name w:val="header"/>
    <w:basedOn w:val="Normal"/>
    <w:link w:val="CabealhoChar"/>
    <w:uiPriority w:val="99"/>
    <w:unhideWhenUsed/>
    <w:rsid w:val="00EE3A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3AD9"/>
  </w:style>
  <w:style w:type="paragraph" w:styleId="Rodap">
    <w:name w:val="footer"/>
    <w:basedOn w:val="Normal"/>
    <w:link w:val="RodapChar"/>
    <w:uiPriority w:val="99"/>
    <w:unhideWhenUsed/>
    <w:rsid w:val="00EE3AD9"/>
    <w:pPr>
      <w:tabs>
        <w:tab w:val="center" w:pos="4252"/>
        <w:tab w:val="right" w:pos="8504"/>
      </w:tabs>
      <w:spacing w:after="0" w:line="240" w:lineRule="auto"/>
    </w:pPr>
  </w:style>
  <w:style w:type="character" w:customStyle="1" w:styleId="RodapChar">
    <w:name w:val="Rodapé Char"/>
    <w:basedOn w:val="Fontepargpadro"/>
    <w:link w:val="Rodap"/>
    <w:uiPriority w:val="99"/>
    <w:rsid w:val="00EE3AD9"/>
  </w:style>
  <w:style w:type="paragraph" w:styleId="PargrafodaLista">
    <w:name w:val="List Paragraph"/>
    <w:basedOn w:val="Normal"/>
    <w:uiPriority w:val="34"/>
    <w:qFormat/>
    <w:rsid w:val="007F3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10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372</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CMBP</cp:lastModifiedBy>
  <cp:revision>8</cp:revision>
  <cp:lastPrinted>2025-09-01T18:30:00Z</cp:lastPrinted>
  <dcterms:created xsi:type="dcterms:W3CDTF">2025-09-01T18:05:00Z</dcterms:created>
  <dcterms:modified xsi:type="dcterms:W3CDTF">2025-09-01T18:56:00Z</dcterms:modified>
</cp:coreProperties>
</file>