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line="240" w:lineRule="auto"/>
        <w:rPr/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RESOLUÇÃO N.º 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200" w:line="276" w:lineRule="auto"/>
        <w:ind w:left="4535.433070866142" w:firstLine="0"/>
        <w:rPr/>
      </w:pPr>
      <w:bookmarkStart w:colFirst="0" w:colLast="0" w:name="_qg5p5njgqzfr" w:id="1"/>
      <w:bookmarkEnd w:id="1"/>
      <w:r w:rsidDel="00000000" w:rsidR="00000000" w:rsidRPr="00000000">
        <w:rPr>
          <w:rtl w:val="0"/>
        </w:rPr>
        <w:t xml:space="preserve">EMENTA: INSTITUI A COMISSÃO ESPECIAL NA </w:t>
      </w:r>
      <w:r w:rsidDel="00000000" w:rsidR="00000000" w:rsidRPr="00000000">
        <w:rPr>
          <w:rtl w:val="0"/>
        </w:rPr>
        <w:t xml:space="preserve">CÂMARA MUNICIPAL DE BARRA DO PIRAÍ E DÁ OUTRAS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Presidente promulga a seguinte resolução: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00" w:line="276" w:lineRule="auto"/>
        <w:ind w:firstLine="0"/>
      </w:pPr>
      <w:r w:rsidDel="00000000" w:rsidR="00000000" w:rsidRPr="00000000">
        <w:rPr>
          <w:rtl w:val="0"/>
        </w:rPr>
        <w:t xml:space="preserve">Esta resolução dispõe sobre a instituição de Comissão Especial, na forma do art. 43 do Regimento Interno, para apurar as irregularidades com relação ao transporte público, no Município de Barra do Piraí.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200" w:line="276" w:lineRule="auto"/>
        <w:ind w:firstLine="0"/>
      </w:pPr>
      <w:r w:rsidDel="00000000" w:rsidR="00000000" w:rsidRPr="00000000">
        <w:rPr>
          <w:rtl w:val="0"/>
        </w:rPr>
        <w:t xml:space="preserve">Comporão a comissão especial: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after="200" w:before="200" w:line="276" w:lineRule="auto"/>
        <w:ind w:left="2267.716535433071" w:hanging="283.4645669291342"/>
      </w:pPr>
      <w:r w:rsidDel="00000000" w:rsidR="00000000" w:rsidRPr="00000000">
        <w:rPr>
          <w:rtl w:val="0"/>
        </w:rPr>
        <w:t xml:space="preserve">Katia Miki, Presidente;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200" w:before="200" w:line="276" w:lineRule="auto"/>
        <w:ind w:left="2267.716535433071" w:hanging="283.4645669291342"/>
      </w:pPr>
      <w:r w:rsidDel="00000000" w:rsidR="00000000" w:rsidRPr="00000000">
        <w:rPr>
          <w:rtl w:val="0"/>
        </w:rPr>
        <w:t xml:space="preserve">Thiago Soares, Vogal;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200" w:before="200" w:line="276" w:lineRule="auto"/>
        <w:ind w:left="2267.716535433071" w:hanging="283.4645669291342"/>
      </w:pPr>
      <w:r w:rsidDel="00000000" w:rsidR="00000000" w:rsidRPr="00000000">
        <w:rPr>
          <w:rtl w:val="0"/>
        </w:rPr>
        <w:t xml:space="preserve">Roseli Braga, Relatora.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200" w:line="276" w:lineRule="auto"/>
        <w:ind w:firstLine="0"/>
      </w:pPr>
      <w:r w:rsidDel="00000000" w:rsidR="00000000" w:rsidRPr="00000000">
        <w:rPr>
          <w:rtl w:val="0"/>
        </w:rPr>
        <w:t xml:space="preserve">A comissão terá os poderes para convocação de qualquer agente político municipal ou cidadão para prestar esclarecimentos, em dia e hora designados por ela e requisitar documentos.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200" w:before="200" w:line="276" w:lineRule="auto"/>
        <w:ind w:left="1133.8582677165355" w:firstLine="0"/>
      </w:pPr>
      <w:r w:rsidDel="00000000" w:rsidR="00000000" w:rsidRPr="00000000">
        <w:rPr>
          <w:rtl w:val="0"/>
        </w:rPr>
        <w:t xml:space="preserve">O pedido de convocação deverá ser aprovado, por unanimidade, pela comissão.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200" w:before="200" w:line="276" w:lineRule="auto"/>
        <w:ind w:left="1133.8582677165355" w:firstLine="0"/>
      </w:pPr>
      <w:r w:rsidDel="00000000" w:rsidR="00000000" w:rsidRPr="00000000">
        <w:rPr>
          <w:rtl w:val="0"/>
        </w:rPr>
        <w:t xml:space="preserve">Em cada esclarecimento a ser prestado, na forma do </w:t>
      </w:r>
      <w:r w:rsidDel="00000000" w:rsidR="00000000" w:rsidRPr="00000000">
        <w:rPr>
          <w:i w:val="1"/>
          <w:rtl w:val="0"/>
        </w:rPr>
        <w:t xml:space="preserve">caput, </w:t>
      </w:r>
      <w:r w:rsidDel="00000000" w:rsidR="00000000" w:rsidRPr="00000000">
        <w:rPr>
          <w:rtl w:val="0"/>
        </w:rPr>
        <w:t xml:space="preserve">deverá ser elaborado o respectivo termo de declaração.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200" w:line="276" w:lineRule="auto"/>
        <w:ind w:firstLine="0"/>
      </w:pPr>
      <w:r w:rsidDel="00000000" w:rsidR="00000000" w:rsidRPr="00000000">
        <w:rPr>
          <w:rtl w:val="0"/>
        </w:rPr>
        <w:t xml:space="preserve">A comissão terá o prazo máximo de 60 (sessenta) dias, quando deverá apresentar o seu relatório.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00" w:line="276" w:lineRule="auto"/>
        <w:ind w:firstLine="0"/>
      </w:pPr>
      <w:r w:rsidDel="00000000" w:rsidR="00000000" w:rsidRPr="00000000">
        <w:rPr>
          <w:rtl w:val="0"/>
        </w:rPr>
        <w:t xml:space="preserve">Esta Resolução entrará em vigor na data de sua publicação, revogando-se as disposições em contrário.</w:t>
      </w:r>
    </w:p>
    <w:p w:rsidR="00000000" w:rsidDel="00000000" w:rsidP="00000000" w:rsidRDefault="00000000" w:rsidRPr="00000000" w14:paraId="0000000E">
      <w:pPr>
        <w:pStyle w:val="Heading4"/>
        <w:spacing w:line="276" w:lineRule="auto"/>
        <w:rPr/>
      </w:pPr>
      <w:bookmarkStart w:colFirst="0" w:colLast="0" w:name="_9b3z55foghz7" w:id="2"/>
      <w:bookmarkEnd w:id="2"/>
      <w:r w:rsidDel="00000000" w:rsidR="00000000" w:rsidRPr="00000000">
        <w:rPr>
          <w:rtl w:val="0"/>
        </w:rPr>
        <w:t xml:space="preserve">Sala Barão do Rio Bonito, ___ de ____ de 2023.</w:t>
      </w:r>
    </w:p>
    <w:p w:rsidR="00000000" w:rsidDel="00000000" w:rsidP="00000000" w:rsidRDefault="00000000" w:rsidRPr="00000000" w14:paraId="0000000F">
      <w:pPr>
        <w:pStyle w:val="Heading4"/>
        <w:spacing w:line="276" w:lineRule="auto"/>
        <w:rPr/>
      </w:pPr>
      <w:bookmarkStart w:colFirst="0" w:colLast="0" w:name="_8222a1b1ri3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spacing w:line="276" w:lineRule="auto"/>
        <w:rPr/>
      </w:pPr>
      <w:bookmarkStart w:colFirst="0" w:colLast="0" w:name="_n66ykzs1dsa" w:id="4"/>
      <w:bookmarkEnd w:id="4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11">
      <w:pPr>
        <w:pStyle w:val="Heading4"/>
        <w:spacing w:line="276" w:lineRule="auto"/>
        <w:rPr/>
      </w:pPr>
      <w:bookmarkStart w:colFirst="0" w:colLast="0" w:name="_9njuevap2vm3" w:id="5"/>
      <w:bookmarkEnd w:id="5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12">
      <w:pPr>
        <w:pStyle w:val="Heading4"/>
        <w:spacing w:line="276" w:lineRule="auto"/>
        <w:rPr/>
      </w:pPr>
      <w:bookmarkStart w:colFirst="0" w:colLast="0" w:name="_wljw4be9dfs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spacing w:line="276" w:lineRule="auto"/>
        <w:rPr/>
      </w:pPr>
      <w:bookmarkStart w:colFirst="0" w:colLast="0" w:name="_1dvzv55spbsb" w:id="7"/>
      <w:bookmarkEnd w:id="7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4">
      <w:pPr>
        <w:pStyle w:val="Heading4"/>
        <w:spacing w:line="276" w:lineRule="auto"/>
        <w:rPr/>
      </w:pPr>
      <w:bookmarkStart w:colFirst="0" w:colLast="0" w:name="_izwj7w3uukq" w:id="8"/>
      <w:bookmarkEnd w:id="8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spacing w:line="276" w:lineRule="auto"/>
        <w:rPr/>
      </w:pPr>
      <w:bookmarkStart w:colFirst="0" w:colLast="0" w:name="_sml2eyz7jjgz" w:id="9"/>
      <w:bookmarkEnd w:id="9"/>
      <w:r w:rsidDel="00000000" w:rsidR="00000000" w:rsidRPr="00000000">
        <w:rPr>
          <w:rtl w:val="0"/>
        </w:rPr>
        <w:t xml:space="preserve">Luiz Carlos Gomes</w:t>
      </w:r>
    </w:p>
    <w:p w:rsidR="00000000" w:rsidDel="00000000" w:rsidP="00000000" w:rsidRDefault="00000000" w:rsidRPr="00000000" w14:paraId="00000017">
      <w:pPr>
        <w:pStyle w:val="Heading4"/>
        <w:spacing w:line="276" w:lineRule="auto"/>
        <w:rPr/>
      </w:pPr>
      <w:bookmarkStart w:colFirst="0" w:colLast="0" w:name="_cdzm0q7pkq3f" w:id="10"/>
      <w:bookmarkEnd w:id="10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8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992.1259842519686" w:top="1133.8582677165355" w:left="1700.787401574803" w:right="1417.3228346456694" w:header="0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2443-9650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."/>
      <w:lvlJc w:val="left"/>
      <w:pPr>
        <w:ind w:left="1133.8582677165355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2267.716535433071" w:hanging="283.46456692913443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