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8064A4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______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="00CA4483"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4D71C2" w:rsidRDefault="000A1A55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A1A55" w:rsidRPr="004D71C2" w:rsidRDefault="008D6981" w:rsidP="006E7B39">
      <w:pPr>
        <w:pStyle w:val="Ementa"/>
        <w:ind w:left="4956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EMENTA: I</w:t>
      </w:r>
      <w:r w:rsidR="00C6074C">
        <w:rPr>
          <w:rFonts w:ascii="Arial" w:hAnsi="Arial" w:cs="Arial"/>
          <w:b/>
          <w:i w:val="0"/>
        </w:rPr>
        <w:t xml:space="preserve">NSTITUI O PROGRAMA </w:t>
      </w:r>
      <w:r>
        <w:rPr>
          <w:rFonts w:ascii="Arial" w:hAnsi="Arial" w:cs="Arial"/>
          <w:b/>
          <w:i w:val="0"/>
        </w:rPr>
        <w:t>DE COMBATE AO BULLYING</w:t>
      </w:r>
      <w:proofErr w:type="gramStart"/>
      <w:r>
        <w:rPr>
          <w:rFonts w:ascii="Arial" w:hAnsi="Arial" w:cs="Arial"/>
          <w:b/>
          <w:i w:val="0"/>
        </w:rPr>
        <w:t xml:space="preserve">  </w:t>
      </w:r>
      <w:proofErr w:type="gramEnd"/>
      <w:r>
        <w:rPr>
          <w:rFonts w:ascii="Arial" w:hAnsi="Arial" w:cs="Arial"/>
          <w:b/>
          <w:i w:val="0"/>
        </w:rPr>
        <w:t>E CYBERBULLYING</w:t>
      </w:r>
      <w:r w:rsidR="00061466" w:rsidRPr="004D71C2">
        <w:rPr>
          <w:rFonts w:ascii="Arial" w:hAnsi="Arial" w:cs="Arial"/>
          <w:b/>
          <w:i w:val="0"/>
        </w:rPr>
        <w:t>.</w:t>
      </w:r>
    </w:p>
    <w:p w:rsidR="000A1A55" w:rsidRPr="004D71C2" w:rsidRDefault="000A1A55" w:rsidP="006E7B39">
      <w:pPr>
        <w:jc w:val="both"/>
        <w:rPr>
          <w:rFonts w:ascii="Arial" w:hAnsi="Arial" w:cs="Arial"/>
          <w:sz w:val="22"/>
          <w:szCs w:val="22"/>
        </w:rPr>
      </w:pPr>
    </w:p>
    <w:p w:rsidR="002254DC" w:rsidRPr="004D71C2" w:rsidRDefault="002254DC" w:rsidP="008D6981">
      <w:pPr>
        <w:rPr>
          <w:rFonts w:ascii="Arial" w:hAnsi="Arial" w:cs="Arial"/>
          <w:sz w:val="22"/>
          <w:szCs w:val="22"/>
        </w:rPr>
      </w:pPr>
      <w:r w:rsidRPr="004D71C2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4D71C2" w:rsidRPr="004D71C2" w:rsidRDefault="004D71C2" w:rsidP="008D6981">
      <w:pPr>
        <w:rPr>
          <w:rFonts w:ascii="Arial" w:hAnsi="Arial" w:cs="Arial"/>
          <w:sz w:val="22"/>
          <w:szCs w:val="22"/>
        </w:rPr>
      </w:pPr>
    </w:p>
    <w:p w:rsidR="008D6981" w:rsidRDefault="008D6981" w:rsidP="008D6981">
      <w:pP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8D69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Art. 1º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 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Fica ins</w:t>
      </w:r>
      <w:r w:rsidR="00C607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tituído o Programa 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de Combate ao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 e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cyberbullying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de ação interdisciplinar, </w:t>
      </w:r>
      <w:proofErr w:type="spellStart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intersetorial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de participação comunitária, no Município, em especial nas escolas públicas e privadas.</w:t>
      </w:r>
      <w:r w:rsidRPr="008D6981">
        <w:rPr>
          <w:color w:val="000000"/>
          <w:sz w:val="22"/>
          <w:szCs w:val="22"/>
        </w:rPr>
        <w:br/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§ 1º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Entende-se por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 atitudes de violência física ou psicológica, intencionais e repetitivas, que ocorrem sem motivação evidente, praticadas por um indivíduo ou grupos de indivíduos, contra uma ou mais pessoas, com o objetivo de intimidá-la ou agredi-la, causando dor e angústia à vítima, em uma relação de desequilíbrio de poder entre as partes envolvidas.</w:t>
      </w:r>
      <w:r w:rsidRPr="008D6981">
        <w:rPr>
          <w:color w:val="000000"/>
          <w:sz w:val="22"/>
          <w:szCs w:val="22"/>
        </w:rPr>
        <w:br/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§ 2º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Entende-se por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cyberbullying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 as atitudes descritas no §1º por meio eletrônico, internet, redes sociais ou afins.</w:t>
      </w:r>
      <w:r w:rsidRPr="008D6981">
        <w:rPr>
          <w:color w:val="000000"/>
          <w:sz w:val="22"/>
          <w:szCs w:val="22"/>
        </w:rPr>
        <w:br/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Art. 2º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A violência física ou psicológica pode ser evidenciada em atos de intimidação, humilhação e discriminação, dentre os quais: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 - insultos pessoais;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II - comentários pejorativos;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III - ataques físicos;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IV - </w:t>
      </w:r>
      <w:proofErr w:type="spellStart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grafitagens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depreciativas;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 - expressões ameaçadoras e preconceituosas;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VI - isolamento social;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VII - ameaças;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VIII - pilhérias.</w:t>
      </w:r>
      <w:r w:rsidRPr="008D6981">
        <w:rPr>
          <w:color w:val="000000"/>
          <w:sz w:val="22"/>
          <w:szCs w:val="22"/>
        </w:rPr>
        <w:br/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Art. 3º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O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 ou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cyberbullying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 podem ser classificados conforme as ações praticadas em: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 - sexual: assediar, induzir e/ou abusar;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II - exclusão social: ignorar, isolar e excluir;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III - psicológica: perseguir, amedrontar, aterrorizar, intimidar, dominar, infernizar, tiranizar, chantagear e manipular;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IV - verbal: apelidar, </w:t>
      </w:r>
      <w:proofErr w:type="gramStart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xingar</w:t>
      </w:r>
      <w:proofErr w:type="gram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, insultar;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 - moral: difamar, disseminar rumores, caluniar;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VI - material: destroçar, estragar, furtar e/ou roubar os pertences;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VII - físico: empurrar, socar, chutar, beliscar, bater;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VIII - virtual: divulgar e/ou enviar imagens, criar comunidades, invadindo a privacidade.</w:t>
      </w:r>
      <w:r w:rsidRPr="008D6981">
        <w:rPr>
          <w:color w:val="000000"/>
          <w:sz w:val="22"/>
          <w:szCs w:val="22"/>
        </w:rPr>
        <w:br/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Art. 4º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Para a implementação deste programa, a unidade escolar criará uma equipe interdisciplinar com a participação de todos os profissionais da educação </w:t>
      </w:r>
      <w:proofErr w:type="spellStart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intersetorial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, envolvendo as diversas políticas existentes no território onde se localiza o estabelecimento escolar, com a participação de pais, alunos e comunidade, para a promoção de atividades didáticas, informativas, de orientação e prevenção.</w:t>
      </w:r>
      <w:r w:rsidRPr="008D6981">
        <w:rPr>
          <w:color w:val="000000"/>
          <w:sz w:val="22"/>
          <w:szCs w:val="22"/>
        </w:rPr>
        <w:br/>
      </w:r>
      <w:r w:rsidRPr="008D6981">
        <w:rPr>
          <w:color w:val="000000"/>
          <w:sz w:val="22"/>
          <w:szCs w:val="22"/>
        </w:rPr>
        <w:br/>
      </w:r>
    </w:p>
    <w:p w:rsidR="004D71C2" w:rsidRPr="004D71C2" w:rsidRDefault="008D6981" w:rsidP="008D6981">
      <w:pPr>
        <w:rPr>
          <w:rFonts w:ascii="Arial" w:hAnsi="Arial" w:cs="Arial"/>
          <w:sz w:val="22"/>
          <w:szCs w:val="22"/>
        </w:rPr>
      </w:pPr>
      <w:r w:rsidRPr="008D69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lastRenderedPageBreak/>
        <w:t>Art.5º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proofErr w:type="gramStart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São</w:t>
      </w:r>
      <w:proofErr w:type="gram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objetivos do Programa Lucas Santos: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 - prevenir e combater a prática de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 e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cyberbullying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II - capacitar docentes e equipe pedagógica para a implementação das ações de discussão, prevenção, orientação e solução do problema;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III - capacitar servidores públicos e a sociedade civil à implementação das ações de discussão, prevenção, orientação e solução do problema;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IV - incluir, no regime escolar, após ampla discussão no Conselho de Escola, regras normativas contra o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 - esclarecer sobre os aspectos éticos e legais que envolvem o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 e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cyberbullying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VI - observar, analisar e identificar eventuais praticantes e vítimas de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 nas escolas;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VII - discernir, de forma clara e objetiva, o que é brincadeira e o que é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VIII - desenvolver campanhas educativas, informativas e de conscientização com a utilização de cartazes e de recursos de áudio e audiovisual;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IX - valorizar as individualidades, canalizando as diferenças para a melhoria da autoestima dos estudantes;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X - integrar a comunidade, as organizações da sociedade, as políticas setoriais públicas e os meios de comunicação nas ações interdisciplinares de combate ao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XI - coibir atos de agressão, discriminação, humilhação e qualquer outro comportamento de intimidação, constrangimento ou violência;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XII - realizar debates e reflexos a respeito do assunto, com ensinamentos que visem à convivência harmônica na escola e na comunidade;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XIII - promover um ambiente escolar seguro e sadio, incentivando a tolerância e o respeito mútuo;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XIV - propor dinâmicas de integração entre alunos, professores, demais profissionais da educação e da comunidade;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XV - estimular a amizade, a solidariedade, a cooperação e o companheirismo no ambiente escolar;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XVI - orientar pais e familiares sobre como proceder diante da prática de </w:t>
      </w:r>
      <w:proofErr w:type="spellStart"/>
      <w:r w:rsidRPr="008D698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;</w:t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XVII - auxiliar vítimas e agressores, orientando-os e encaminhando-os para a rede de serviços sociais, sempre que necessário.</w:t>
      </w:r>
      <w:r w:rsidRPr="008D6981">
        <w:rPr>
          <w:color w:val="000000"/>
          <w:sz w:val="22"/>
          <w:szCs w:val="22"/>
        </w:rPr>
        <w:br/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Art. 6º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Compete à </w:t>
      </w:r>
      <w:proofErr w:type="gramStart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unidade</w:t>
      </w:r>
      <w:proofErr w:type="gram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escolar aprovar um plano de ações no calendário da escola, para a implantação das medidas pr</w:t>
      </w:r>
      <w:r w:rsidR="00C607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evistas no Programa de Combate ao </w:t>
      </w:r>
      <w:proofErr w:type="spellStart"/>
      <w:r w:rsidR="00C6074C" w:rsidRPr="00C6074C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bullying</w:t>
      </w:r>
      <w:proofErr w:type="spellEnd"/>
      <w:r w:rsidR="00C607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6074C" w:rsidRPr="00C6074C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cyberbullying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D6981">
        <w:rPr>
          <w:color w:val="000000"/>
          <w:sz w:val="22"/>
          <w:szCs w:val="22"/>
        </w:rPr>
        <w:br/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Art. 7º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Poderão ser celebrados convênios e parcerias para a garantia do cumprimento dos objetivos do programa.</w:t>
      </w:r>
      <w:r w:rsidRPr="008D6981">
        <w:rPr>
          <w:color w:val="000000"/>
          <w:sz w:val="22"/>
          <w:szCs w:val="22"/>
        </w:rPr>
        <w:br/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Art. 8º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A escola poderá encaminhar vítimas e agressores aos serviços de assistência médica, social, psicológica e jurídica, que poderão ser oferecidos por meio de parcerias e convênios.</w:t>
      </w:r>
      <w:r w:rsidRPr="008D6981">
        <w:rPr>
          <w:color w:val="000000"/>
          <w:sz w:val="22"/>
          <w:szCs w:val="22"/>
        </w:rPr>
        <w:br/>
      </w:r>
      <w:r w:rsidRPr="008D6981">
        <w:rPr>
          <w:color w:val="000000"/>
          <w:sz w:val="22"/>
          <w:szCs w:val="22"/>
        </w:rPr>
        <w:br/>
      </w:r>
      <w:r w:rsidRPr="008D69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Art. 9º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 w:rsidRPr="008D6981">
        <w:rPr>
          <w:rFonts w:ascii="Arial" w:hAnsi="Arial" w:cs="Arial"/>
          <w:color w:val="000000"/>
          <w:sz w:val="22"/>
          <w:szCs w:val="22"/>
          <w:shd w:val="clear" w:color="auto" w:fill="FFFFFF"/>
        </w:rPr>
        <w:t>Esta Lei entra em vigor na data de sua publicação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2254DC" w:rsidRPr="004D71C2" w:rsidRDefault="002254DC" w:rsidP="00175F52">
      <w:pPr>
        <w:jc w:val="both"/>
        <w:rPr>
          <w:rFonts w:ascii="Arial" w:hAnsi="Arial" w:cs="Arial"/>
          <w:sz w:val="22"/>
          <w:szCs w:val="22"/>
        </w:rPr>
      </w:pPr>
    </w:p>
    <w:p w:rsidR="001512F9" w:rsidRPr="004D71C2" w:rsidRDefault="005911F6" w:rsidP="00941BC1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4D71C2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E075EE">
        <w:rPr>
          <w:rFonts w:ascii="Arial" w:hAnsi="Arial" w:cs="Arial"/>
          <w:b/>
          <w:sz w:val="22"/>
          <w:szCs w:val="22"/>
        </w:rPr>
        <w:t>30</w:t>
      </w:r>
      <w:bookmarkStart w:id="0" w:name="_GoBack"/>
      <w:bookmarkEnd w:id="0"/>
      <w:r w:rsidR="003461FF" w:rsidRPr="004D71C2">
        <w:rPr>
          <w:rFonts w:ascii="Arial" w:hAnsi="Arial" w:cs="Arial"/>
          <w:b/>
          <w:sz w:val="22"/>
          <w:szCs w:val="22"/>
        </w:rPr>
        <w:t xml:space="preserve"> de Abril de 2024</w:t>
      </w:r>
    </w:p>
    <w:p w:rsidR="001512F9" w:rsidRP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3638550" cy="15430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 w:rsidP="00175F52">
      <w:pPr>
        <w:pStyle w:val="Ttulo3"/>
        <w:jc w:val="both"/>
        <w:rPr>
          <w:rFonts w:ascii="Arial" w:hAnsi="Arial" w:cs="Arial"/>
          <w:color w:val="auto"/>
          <w:u w:val="single"/>
        </w:rPr>
      </w:pPr>
    </w:p>
    <w:p w:rsidR="008032F5" w:rsidRDefault="008032F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1A55" w:rsidRPr="00927880" w:rsidRDefault="000A1A5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7880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8D6981" w:rsidRPr="008D6981" w:rsidRDefault="008D6981" w:rsidP="008064A4">
      <w:pPr>
        <w:pStyle w:val="NormalWeb"/>
        <w:shd w:val="clear" w:color="auto" w:fill="FFFFFF"/>
        <w:ind w:firstLine="708"/>
        <w:rPr>
          <w:color w:val="000000"/>
          <w:sz w:val="22"/>
          <w:szCs w:val="22"/>
        </w:rPr>
      </w:pPr>
      <w:r w:rsidRPr="008D6981">
        <w:rPr>
          <w:rFonts w:ascii="Arial" w:hAnsi="Arial" w:cs="Arial"/>
          <w:color w:val="000000"/>
          <w:sz w:val="22"/>
          <w:szCs w:val="22"/>
        </w:rPr>
        <w:t>Segundo a ONU - Organização das Nações Unidas, quase metade dos jovens brasileiros até 18 anos já sofreram algum tipo de </w:t>
      </w:r>
      <w:proofErr w:type="spellStart"/>
      <w:r w:rsidRPr="008D6981">
        <w:rPr>
          <w:rFonts w:ascii="Arial" w:hAnsi="Arial" w:cs="Arial"/>
          <w:color w:val="000000"/>
          <w:sz w:val="22"/>
          <w:szCs w:val="22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</w:rPr>
        <w:t> </w:t>
      </w:r>
      <w:r w:rsidR="008064A4">
        <w:rPr>
          <w:rFonts w:ascii="Arial" w:hAnsi="Arial" w:cs="Arial"/>
          <w:color w:val="000000"/>
          <w:sz w:val="22"/>
          <w:szCs w:val="22"/>
        </w:rPr>
        <w:t xml:space="preserve">ou </w:t>
      </w:r>
      <w:proofErr w:type="spellStart"/>
      <w:r w:rsidR="008064A4">
        <w:rPr>
          <w:rFonts w:ascii="Arial" w:hAnsi="Arial" w:cs="Arial"/>
          <w:color w:val="000000"/>
          <w:sz w:val="22"/>
          <w:szCs w:val="22"/>
        </w:rPr>
        <w:t>cyberbullying</w:t>
      </w:r>
      <w:proofErr w:type="spellEnd"/>
      <w:r w:rsidR="008064A4">
        <w:rPr>
          <w:rFonts w:ascii="Arial" w:hAnsi="Arial" w:cs="Arial"/>
          <w:color w:val="000000"/>
          <w:sz w:val="22"/>
          <w:szCs w:val="22"/>
        </w:rPr>
        <w:t xml:space="preserve"> em razão</w:t>
      </w:r>
      <w:r w:rsidRPr="008D698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8D6981">
        <w:rPr>
          <w:rFonts w:ascii="Arial" w:hAnsi="Arial" w:cs="Arial"/>
          <w:color w:val="000000"/>
          <w:sz w:val="22"/>
          <w:szCs w:val="22"/>
        </w:rPr>
        <w:t>aparencia</w:t>
      </w:r>
      <w:proofErr w:type="spellEnd"/>
      <w:r w:rsidRPr="008D6981">
        <w:rPr>
          <w:rFonts w:ascii="Arial" w:hAnsi="Arial" w:cs="Arial"/>
          <w:color w:val="000000"/>
          <w:sz w:val="22"/>
          <w:szCs w:val="22"/>
        </w:rPr>
        <w:t xml:space="preserve"> física, gênero, orientação sexual, etnia ou país de origem.</w:t>
      </w:r>
    </w:p>
    <w:p w:rsidR="008D6981" w:rsidRPr="008D6981" w:rsidRDefault="008D6981" w:rsidP="008064A4">
      <w:pPr>
        <w:pStyle w:val="NormalWeb"/>
        <w:shd w:val="clear" w:color="auto" w:fill="FFFFFF"/>
        <w:ind w:firstLine="708"/>
        <w:rPr>
          <w:color w:val="000000"/>
          <w:sz w:val="22"/>
          <w:szCs w:val="22"/>
        </w:rPr>
      </w:pPr>
      <w:r w:rsidRPr="008D6981">
        <w:rPr>
          <w:rFonts w:ascii="Arial" w:hAnsi="Arial" w:cs="Arial"/>
          <w:color w:val="000000"/>
          <w:sz w:val="22"/>
          <w:szCs w:val="22"/>
        </w:rPr>
        <w:t>O ápice do efeito danoso dessa prática se dá com o resultado morte</w:t>
      </w:r>
      <w:r w:rsidR="008064A4">
        <w:rPr>
          <w:rFonts w:ascii="Arial" w:hAnsi="Arial" w:cs="Arial"/>
          <w:color w:val="000000"/>
          <w:sz w:val="22"/>
          <w:szCs w:val="22"/>
        </w:rPr>
        <w:t xml:space="preserve"> ou evolução de doenças como depressão/ansiedade. </w:t>
      </w:r>
      <w:r w:rsidRPr="008D6981">
        <w:rPr>
          <w:rFonts w:ascii="Arial" w:hAnsi="Arial" w:cs="Arial"/>
          <w:color w:val="000000"/>
          <w:sz w:val="22"/>
          <w:szCs w:val="22"/>
        </w:rPr>
        <w:t xml:space="preserve">Atualmente todo o Brasil recebeu com espanto o relato da cantora </w:t>
      </w:r>
      <w:proofErr w:type="spellStart"/>
      <w:r w:rsidRPr="008D6981">
        <w:rPr>
          <w:rFonts w:ascii="Arial" w:hAnsi="Arial" w:cs="Arial"/>
          <w:color w:val="000000"/>
          <w:sz w:val="22"/>
          <w:szCs w:val="22"/>
        </w:rPr>
        <w:t>Walkyria</w:t>
      </w:r>
      <w:proofErr w:type="spellEnd"/>
      <w:r w:rsidRPr="008D6981">
        <w:rPr>
          <w:rFonts w:ascii="Arial" w:hAnsi="Arial" w:cs="Arial"/>
          <w:color w:val="000000"/>
          <w:sz w:val="22"/>
          <w:szCs w:val="22"/>
        </w:rPr>
        <w:t xml:space="preserve"> Santos falando sobre o seu filho Lucas Santos que tirou a própria vida após sofre </w:t>
      </w:r>
      <w:proofErr w:type="spellStart"/>
      <w:r w:rsidRPr="008D6981">
        <w:rPr>
          <w:rFonts w:ascii="Arial" w:hAnsi="Arial" w:cs="Arial"/>
          <w:color w:val="000000"/>
          <w:sz w:val="22"/>
          <w:szCs w:val="22"/>
        </w:rPr>
        <w:t>cyberbullying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</w:rPr>
        <w:t>, c</w:t>
      </w:r>
      <w:r w:rsidR="008064A4">
        <w:rPr>
          <w:rFonts w:ascii="Arial" w:hAnsi="Arial" w:cs="Arial"/>
          <w:color w:val="000000"/>
          <w:sz w:val="22"/>
          <w:szCs w:val="22"/>
        </w:rPr>
        <w:t>om mensagens de ódio</w:t>
      </w:r>
      <w:r w:rsidRPr="008D6981">
        <w:rPr>
          <w:rFonts w:ascii="Arial" w:hAnsi="Arial" w:cs="Arial"/>
          <w:color w:val="000000"/>
          <w:sz w:val="22"/>
          <w:szCs w:val="22"/>
        </w:rPr>
        <w:t>.</w:t>
      </w:r>
    </w:p>
    <w:p w:rsidR="008D6981" w:rsidRPr="008D6981" w:rsidRDefault="008D6981" w:rsidP="008064A4">
      <w:pPr>
        <w:pStyle w:val="NormalWeb"/>
        <w:shd w:val="clear" w:color="auto" w:fill="FFFFFF"/>
        <w:ind w:firstLine="708"/>
        <w:rPr>
          <w:color w:val="000000"/>
          <w:sz w:val="22"/>
          <w:szCs w:val="22"/>
        </w:rPr>
      </w:pPr>
      <w:r w:rsidRPr="008D6981">
        <w:rPr>
          <w:rFonts w:ascii="Arial" w:hAnsi="Arial" w:cs="Arial"/>
          <w:color w:val="000000"/>
          <w:sz w:val="22"/>
          <w:szCs w:val="22"/>
        </w:rPr>
        <w:t>Sendo assim, é necessári</w:t>
      </w:r>
      <w:r w:rsidR="008064A4">
        <w:rPr>
          <w:rFonts w:ascii="Arial" w:hAnsi="Arial" w:cs="Arial"/>
          <w:color w:val="000000"/>
          <w:sz w:val="22"/>
          <w:szCs w:val="22"/>
        </w:rPr>
        <w:t>o que a Cidade de Barra do Piraí</w:t>
      </w:r>
      <w:r w:rsidRPr="008D6981">
        <w:rPr>
          <w:rFonts w:ascii="Arial" w:hAnsi="Arial" w:cs="Arial"/>
          <w:color w:val="000000"/>
          <w:sz w:val="22"/>
          <w:szCs w:val="22"/>
        </w:rPr>
        <w:t xml:space="preserve"> possua um programa de disseminação dos riscos do </w:t>
      </w:r>
      <w:proofErr w:type="spellStart"/>
      <w:r w:rsidRPr="008D6981">
        <w:rPr>
          <w:rFonts w:ascii="Arial" w:hAnsi="Arial" w:cs="Arial"/>
          <w:color w:val="000000"/>
          <w:sz w:val="22"/>
          <w:szCs w:val="22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8D6981">
        <w:rPr>
          <w:rFonts w:ascii="Arial" w:hAnsi="Arial" w:cs="Arial"/>
          <w:color w:val="000000"/>
          <w:sz w:val="22"/>
          <w:szCs w:val="22"/>
        </w:rPr>
        <w:t>cyberbullying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</w:rPr>
        <w:t xml:space="preserve">, com a finalidade de orientar a sociedade como se dá o </w:t>
      </w:r>
      <w:proofErr w:type="spellStart"/>
      <w:r w:rsidRPr="008D6981">
        <w:rPr>
          <w:rFonts w:ascii="Arial" w:hAnsi="Arial" w:cs="Arial"/>
          <w:color w:val="000000"/>
          <w:sz w:val="22"/>
          <w:szCs w:val="22"/>
        </w:rPr>
        <w:t>bullying</w:t>
      </w:r>
      <w:proofErr w:type="spellEnd"/>
      <w:r w:rsidRPr="008D6981">
        <w:rPr>
          <w:rFonts w:ascii="Arial" w:hAnsi="Arial" w:cs="Arial"/>
          <w:color w:val="000000"/>
          <w:sz w:val="22"/>
          <w:szCs w:val="22"/>
        </w:rPr>
        <w:t xml:space="preserve"> e treinar o servidor municipal e empregado privado sobre as características.</w:t>
      </w:r>
    </w:p>
    <w:p w:rsidR="00D05B20" w:rsidRPr="00175F52" w:rsidRDefault="00D05B20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930FDD" w:rsidRPr="00927880" w:rsidRDefault="00930FDD" w:rsidP="00570245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930FDD" w:rsidRPr="00927880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58" w:rsidRDefault="00F11C58">
      <w:r>
        <w:separator/>
      </w:r>
    </w:p>
  </w:endnote>
  <w:endnote w:type="continuationSeparator" w:id="0">
    <w:p w:rsidR="00F11C58" w:rsidRDefault="00F1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E075EE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3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E075EE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3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58" w:rsidRDefault="00F11C58">
      <w:r>
        <w:separator/>
      </w:r>
    </w:p>
  </w:footnote>
  <w:footnote w:type="continuationSeparator" w:id="0">
    <w:p w:rsidR="00F11C58" w:rsidRDefault="00F11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FC37F8" wp14:editId="65FBE4B5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B6A23"/>
    <w:rsid w:val="001B7AF9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578E"/>
    <w:rsid w:val="002A585E"/>
    <w:rsid w:val="002A5E20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155F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33A8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3254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DF"/>
    <w:rsid w:val="007F6FA9"/>
    <w:rsid w:val="007F76C3"/>
    <w:rsid w:val="00801661"/>
    <w:rsid w:val="008032F5"/>
    <w:rsid w:val="008064A4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951"/>
    <w:rsid w:val="008D235D"/>
    <w:rsid w:val="008D3A86"/>
    <w:rsid w:val="008D42E3"/>
    <w:rsid w:val="008D4515"/>
    <w:rsid w:val="008D56E7"/>
    <w:rsid w:val="008D6981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66112"/>
    <w:rsid w:val="00974797"/>
    <w:rsid w:val="0098131A"/>
    <w:rsid w:val="00983D76"/>
    <w:rsid w:val="00984867"/>
    <w:rsid w:val="00992D55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4542"/>
    <w:rsid w:val="00B5555E"/>
    <w:rsid w:val="00B67D34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074C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C530B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B40"/>
    <w:rsid w:val="00D3152C"/>
    <w:rsid w:val="00D32F07"/>
    <w:rsid w:val="00D33A23"/>
    <w:rsid w:val="00D3404F"/>
    <w:rsid w:val="00D36760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E00874"/>
    <w:rsid w:val="00E03108"/>
    <w:rsid w:val="00E04D94"/>
    <w:rsid w:val="00E075EE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C21B2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1C5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23F4C-CF55-4F6B-AD29-A7E9536B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8</cp:revision>
  <cp:lastPrinted>2024-04-30T17:04:00Z</cp:lastPrinted>
  <dcterms:created xsi:type="dcterms:W3CDTF">2024-04-29T16:45:00Z</dcterms:created>
  <dcterms:modified xsi:type="dcterms:W3CDTF">2024-04-30T18:24:00Z</dcterms:modified>
</cp:coreProperties>
</file>