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04538E98" w14:textId="4AE9FEA3" w:rsidR="00CD4360" w:rsidRPr="00320B52" w:rsidRDefault="00741E4F" w:rsidP="00320B52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7245C43D" w14:textId="5D6B9C2F" w:rsidR="00076346" w:rsidRDefault="00741E4F" w:rsidP="00024C48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C3E4A95" w14:textId="77777777" w:rsidR="00024C48" w:rsidRDefault="00024C48" w:rsidP="00024C48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</w:p>
    <w:p w14:paraId="7CA1AF4B" w14:textId="77777777" w:rsidR="00CD4360" w:rsidRPr="00024C48" w:rsidRDefault="00CD4360" w:rsidP="00024C48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</w:p>
    <w:p w14:paraId="610793B9" w14:textId="1533303C" w:rsidR="00B9512A" w:rsidRDefault="00741E4F" w:rsidP="00F82AD2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  <w:bookmarkStart w:id="1" w:name="EMENTA:_AUTORIZA_O_EXECUTIVO_MUNICIPAL_A"/>
      <w:bookmarkEnd w:id="1"/>
      <w:r>
        <w:rPr>
          <w:b/>
          <w:sz w:val="24"/>
        </w:rPr>
        <w:t>EMENTA:</w:t>
      </w:r>
      <w:r w:rsidR="006B2889">
        <w:rPr>
          <w:b/>
          <w:sz w:val="24"/>
        </w:rPr>
        <w:t xml:space="preserve"> </w:t>
      </w:r>
      <w:r w:rsidR="009C0FAF" w:rsidRPr="009C0FAF">
        <w:rPr>
          <w:rStyle w:val="Forte"/>
          <w:color w:val="404040"/>
        </w:rPr>
        <w:t>DISPÕE SOBRE A REGULARIZAÇÃO FUNDIÁRIA DE INTERESSE SOCIAL EM ÁREAS URBANAS DO MUNICÍPIO DE BARRA DO PIRAÍ E ESTABELECE MEDIDAS PARA A TITULAÇÃO DE TERRENOS OCUPADOS POR POPULAÇÃO DE BAIXA RENDA</w:t>
      </w:r>
      <w:r w:rsidR="009C0FAF">
        <w:rPr>
          <w:rStyle w:val="Forte"/>
          <w:rFonts w:ascii="Segoe UI" w:hAnsi="Segoe UI" w:cs="Segoe UI"/>
          <w:color w:val="404040"/>
        </w:rPr>
        <w:t>.</w:t>
      </w:r>
    </w:p>
    <w:p w14:paraId="0A1B343C" w14:textId="77777777" w:rsidR="00E0240D" w:rsidRDefault="00E0240D" w:rsidP="004F1C39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0DD0E8FF" w14:textId="77777777" w:rsidR="00CD4360" w:rsidRPr="00076346" w:rsidRDefault="00CD4360" w:rsidP="004F1C39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6E7C04AD" w14:textId="1F7520B7" w:rsidR="00A93A0C" w:rsidRDefault="00741E4F" w:rsidP="00797F39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5ECD8E89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1º</w:t>
      </w:r>
      <w:r w:rsidRPr="0031321D">
        <w:rPr>
          <w:sz w:val="24"/>
          <w:szCs w:val="24"/>
          <w:lang w:val="pt-BR" w:eastAsia="pt-BR"/>
        </w:rPr>
        <w:t> Fica instituído o </w:t>
      </w:r>
      <w:r w:rsidRPr="0031321D">
        <w:rPr>
          <w:b/>
          <w:bCs/>
          <w:sz w:val="24"/>
          <w:szCs w:val="24"/>
          <w:lang w:val="pt-BR" w:eastAsia="pt-BR"/>
        </w:rPr>
        <w:t>Programa Municipal de Regularização Fundiária de Interesse Social</w:t>
      </w:r>
      <w:r w:rsidRPr="0031321D">
        <w:rPr>
          <w:sz w:val="24"/>
          <w:szCs w:val="24"/>
          <w:lang w:val="pt-BR" w:eastAsia="pt-BR"/>
        </w:rPr>
        <w:t>, com o objetivo de garantir a segurança jurídica da posse e propriedade de terrenos ocupados por população de baixa renda, promovendo a urbanização e a integração socioeconômica dessas áreas.</w:t>
      </w:r>
    </w:p>
    <w:p w14:paraId="0EE216EF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2º</w:t>
      </w:r>
      <w:r w:rsidRPr="0031321D">
        <w:rPr>
          <w:sz w:val="24"/>
          <w:szCs w:val="24"/>
          <w:lang w:val="pt-BR" w:eastAsia="pt-BR"/>
        </w:rPr>
        <w:t> São consideradas </w:t>
      </w:r>
      <w:r w:rsidRPr="0031321D">
        <w:rPr>
          <w:b/>
          <w:bCs/>
          <w:sz w:val="24"/>
          <w:szCs w:val="24"/>
          <w:lang w:val="pt-BR" w:eastAsia="pt-BR"/>
        </w:rPr>
        <w:t>Áreas de Interesse Social</w:t>
      </w:r>
      <w:r w:rsidRPr="0031321D">
        <w:rPr>
          <w:sz w:val="24"/>
          <w:szCs w:val="24"/>
          <w:lang w:val="pt-BR" w:eastAsia="pt-BR"/>
        </w:rPr>
        <w:t> para fins desta lei:</w:t>
      </w:r>
      <w:r w:rsidRPr="0031321D">
        <w:rPr>
          <w:sz w:val="24"/>
          <w:szCs w:val="24"/>
          <w:lang w:val="pt-BR" w:eastAsia="pt-BR"/>
        </w:rPr>
        <w:br/>
        <w:t>I - Zonas urbanas ou urbanizáveis ocupadas há, no mínimo, </w:t>
      </w:r>
      <w:r w:rsidRPr="0031321D">
        <w:rPr>
          <w:b/>
          <w:bCs/>
          <w:sz w:val="24"/>
          <w:szCs w:val="24"/>
          <w:lang w:val="pt-BR" w:eastAsia="pt-BR"/>
        </w:rPr>
        <w:t>5 (cinco) anos</w:t>
      </w:r>
      <w:r w:rsidRPr="0031321D">
        <w:rPr>
          <w:sz w:val="24"/>
          <w:szCs w:val="24"/>
          <w:lang w:val="pt-BR" w:eastAsia="pt-BR"/>
        </w:rPr>
        <w:t> por população de baixa renda;</w:t>
      </w:r>
      <w:r w:rsidRPr="0031321D">
        <w:rPr>
          <w:sz w:val="24"/>
          <w:szCs w:val="24"/>
          <w:lang w:val="pt-BR" w:eastAsia="pt-BR"/>
        </w:rPr>
        <w:br/>
        <w:t>II - Locais sem registro imobiliário regular ou com pendências dominiais;</w:t>
      </w:r>
      <w:r w:rsidRPr="0031321D">
        <w:rPr>
          <w:sz w:val="24"/>
          <w:szCs w:val="24"/>
          <w:lang w:val="pt-BR" w:eastAsia="pt-BR"/>
        </w:rPr>
        <w:br/>
        <w:t>III - Áreas sem conflitos judiciais ou disputa de propriedade comprovada;</w:t>
      </w:r>
      <w:r w:rsidRPr="0031321D">
        <w:rPr>
          <w:sz w:val="24"/>
          <w:szCs w:val="24"/>
          <w:lang w:val="pt-BR" w:eastAsia="pt-BR"/>
        </w:rPr>
        <w:br/>
        <w:t>IV - Terrenos que não estejam em áreas de risco ou de preservação ambiental.</w:t>
      </w:r>
    </w:p>
    <w:p w14:paraId="1296774A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3º</w:t>
      </w:r>
      <w:r w:rsidRPr="0031321D">
        <w:rPr>
          <w:sz w:val="24"/>
          <w:szCs w:val="24"/>
          <w:lang w:val="pt-BR" w:eastAsia="pt-BR"/>
        </w:rPr>
        <w:t> A regularização fundiária será realizada por meio de:</w:t>
      </w:r>
      <w:r w:rsidRPr="0031321D">
        <w:rPr>
          <w:sz w:val="24"/>
          <w:szCs w:val="24"/>
          <w:lang w:val="pt-BR" w:eastAsia="pt-BR"/>
        </w:rPr>
        <w:br/>
        <w:t>I - </w:t>
      </w:r>
      <w:r w:rsidRPr="0031321D">
        <w:rPr>
          <w:b/>
          <w:bCs/>
          <w:sz w:val="24"/>
          <w:szCs w:val="24"/>
          <w:lang w:val="pt-BR" w:eastAsia="pt-BR"/>
        </w:rPr>
        <w:t>Concessão de título de propriedade</w:t>
      </w:r>
      <w:r w:rsidRPr="0031321D">
        <w:rPr>
          <w:sz w:val="24"/>
          <w:szCs w:val="24"/>
          <w:lang w:val="pt-BR" w:eastAsia="pt-BR"/>
        </w:rPr>
        <w:t> (individual ou coletivo);</w:t>
      </w:r>
      <w:r w:rsidRPr="0031321D">
        <w:rPr>
          <w:sz w:val="24"/>
          <w:szCs w:val="24"/>
          <w:lang w:val="pt-BR" w:eastAsia="pt-BR"/>
        </w:rPr>
        <w:br/>
        <w:t>II - </w:t>
      </w:r>
      <w:r w:rsidRPr="0031321D">
        <w:rPr>
          <w:b/>
          <w:bCs/>
          <w:sz w:val="24"/>
          <w:szCs w:val="24"/>
          <w:lang w:val="pt-BR" w:eastAsia="pt-BR"/>
        </w:rPr>
        <w:t>Usucapião especial urbano</w:t>
      </w:r>
      <w:r w:rsidRPr="0031321D">
        <w:rPr>
          <w:sz w:val="24"/>
          <w:szCs w:val="24"/>
          <w:lang w:val="pt-BR" w:eastAsia="pt-BR"/>
        </w:rPr>
        <w:t> (nos termos do Art. 183 da Constituição Federal e do Art. 1.240 do Código Civil);</w:t>
      </w:r>
      <w:r w:rsidRPr="0031321D">
        <w:rPr>
          <w:sz w:val="24"/>
          <w:szCs w:val="24"/>
          <w:lang w:val="pt-BR" w:eastAsia="pt-BR"/>
        </w:rPr>
        <w:br/>
        <w:t>III - </w:t>
      </w:r>
      <w:r w:rsidRPr="0031321D">
        <w:rPr>
          <w:b/>
          <w:bCs/>
          <w:sz w:val="24"/>
          <w:szCs w:val="24"/>
          <w:lang w:val="pt-BR" w:eastAsia="pt-BR"/>
        </w:rPr>
        <w:t>Legitimação de posse</w:t>
      </w:r>
      <w:r w:rsidRPr="0031321D">
        <w:rPr>
          <w:sz w:val="24"/>
          <w:szCs w:val="24"/>
          <w:lang w:val="pt-BR" w:eastAsia="pt-BR"/>
        </w:rPr>
        <w:t>, quando aplicável.</w:t>
      </w:r>
    </w:p>
    <w:p w14:paraId="316B08A8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4º</w:t>
      </w:r>
      <w:r w:rsidRPr="0031321D">
        <w:rPr>
          <w:sz w:val="24"/>
          <w:szCs w:val="24"/>
          <w:lang w:val="pt-BR" w:eastAsia="pt-BR"/>
        </w:rPr>
        <w:t> O Município poderá:</w:t>
      </w:r>
      <w:r w:rsidRPr="0031321D">
        <w:rPr>
          <w:sz w:val="24"/>
          <w:szCs w:val="24"/>
          <w:lang w:val="pt-BR" w:eastAsia="pt-BR"/>
        </w:rPr>
        <w:br/>
        <w:t>I - Celebrar convênios com o </w:t>
      </w:r>
      <w:r w:rsidRPr="0031321D">
        <w:rPr>
          <w:b/>
          <w:bCs/>
          <w:sz w:val="24"/>
          <w:szCs w:val="24"/>
          <w:lang w:val="pt-BR" w:eastAsia="pt-BR"/>
        </w:rPr>
        <w:t>Governo do Estado do Rio de Janeiro</w:t>
      </w:r>
      <w:r w:rsidRPr="0031321D">
        <w:rPr>
          <w:sz w:val="24"/>
          <w:szCs w:val="24"/>
          <w:lang w:val="pt-BR" w:eastAsia="pt-BR"/>
        </w:rPr>
        <w:t>, </w:t>
      </w:r>
      <w:r w:rsidRPr="0031321D">
        <w:rPr>
          <w:b/>
          <w:bCs/>
          <w:sz w:val="24"/>
          <w:szCs w:val="24"/>
          <w:lang w:val="pt-BR" w:eastAsia="pt-BR"/>
        </w:rPr>
        <w:t>Caixa Econômica Federal</w:t>
      </w:r>
      <w:r w:rsidRPr="0031321D">
        <w:rPr>
          <w:sz w:val="24"/>
          <w:szCs w:val="24"/>
          <w:lang w:val="pt-BR" w:eastAsia="pt-BR"/>
        </w:rPr>
        <w:t> e </w:t>
      </w:r>
      <w:r w:rsidRPr="0031321D">
        <w:rPr>
          <w:b/>
          <w:bCs/>
          <w:sz w:val="24"/>
          <w:szCs w:val="24"/>
          <w:lang w:val="pt-BR" w:eastAsia="pt-BR"/>
        </w:rPr>
        <w:t>INCRA</w:t>
      </w:r>
      <w:r w:rsidRPr="0031321D">
        <w:rPr>
          <w:sz w:val="24"/>
          <w:szCs w:val="24"/>
          <w:lang w:val="pt-BR" w:eastAsia="pt-BR"/>
        </w:rPr>
        <w:t> para financiamento e apoio técnico;</w:t>
      </w:r>
      <w:r w:rsidRPr="0031321D">
        <w:rPr>
          <w:sz w:val="24"/>
          <w:szCs w:val="24"/>
          <w:lang w:val="pt-BR" w:eastAsia="pt-BR"/>
        </w:rPr>
        <w:br/>
        <w:t>II - Criar um </w:t>
      </w:r>
      <w:r w:rsidRPr="0031321D">
        <w:rPr>
          <w:b/>
          <w:bCs/>
          <w:sz w:val="24"/>
          <w:szCs w:val="24"/>
          <w:lang w:val="pt-BR" w:eastAsia="pt-BR"/>
        </w:rPr>
        <w:t>Fundo Municipal de Regularização Fundiária</w:t>
      </w:r>
      <w:r w:rsidRPr="0031321D">
        <w:rPr>
          <w:sz w:val="24"/>
          <w:szCs w:val="24"/>
          <w:lang w:val="pt-BR" w:eastAsia="pt-BR"/>
        </w:rPr>
        <w:t> para custeio de projetos de urbanização;</w:t>
      </w:r>
      <w:r w:rsidRPr="0031321D">
        <w:rPr>
          <w:sz w:val="24"/>
          <w:szCs w:val="24"/>
          <w:lang w:val="pt-BR" w:eastAsia="pt-BR"/>
        </w:rPr>
        <w:br/>
      </w:r>
      <w:r w:rsidRPr="0031321D">
        <w:rPr>
          <w:sz w:val="24"/>
          <w:szCs w:val="24"/>
          <w:lang w:val="pt-BR" w:eastAsia="pt-BR"/>
        </w:rPr>
        <w:lastRenderedPageBreak/>
        <w:t>III - Estabelecer parcerias com </w:t>
      </w:r>
      <w:r w:rsidRPr="0031321D">
        <w:rPr>
          <w:b/>
          <w:bCs/>
          <w:sz w:val="24"/>
          <w:szCs w:val="24"/>
          <w:lang w:val="pt-BR" w:eastAsia="pt-BR"/>
        </w:rPr>
        <w:t>cartórios de registro de imóveis</w:t>
      </w:r>
      <w:r w:rsidRPr="0031321D">
        <w:rPr>
          <w:sz w:val="24"/>
          <w:szCs w:val="24"/>
          <w:lang w:val="pt-BR" w:eastAsia="pt-BR"/>
        </w:rPr>
        <w:t> para agilizar a emissão de títulos.</w:t>
      </w:r>
    </w:p>
    <w:p w14:paraId="7237E667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5º</w:t>
      </w:r>
      <w:r w:rsidRPr="0031321D">
        <w:rPr>
          <w:sz w:val="24"/>
          <w:szCs w:val="24"/>
          <w:lang w:val="pt-BR" w:eastAsia="pt-BR"/>
        </w:rPr>
        <w:t> Serão priorizadas áreas com:</w:t>
      </w:r>
      <w:r w:rsidRPr="0031321D">
        <w:rPr>
          <w:sz w:val="24"/>
          <w:szCs w:val="24"/>
          <w:lang w:val="pt-BR" w:eastAsia="pt-BR"/>
        </w:rPr>
        <w:br/>
        <w:t>I - Déficit de infraestrutura básica (saneamento, pavimentação, iluminação);</w:t>
      </w:r>
      <w:r w:rsidRPr="0031321D">
        <w:rPr>
          <w:sz w:val="24"/>
          <w:szCs w:val="24"/>
          <w:lang w:val="pt-BR" w:eastAsia="pt-BR"/>
        </w:rPr>
        <w:br/>
        <w:t>II - Alto índice de vulnerabilidade social;</w:t>
      </w:r>
      <w:r w:rsidRPr="0031321D">
        <w:rPr>
          <w:sz w:val="24"/>
          <w:szCs w:val="24"/>
          <w:lang w:val="pt-BR" w:eastAsia="pt-BR"/>
        </w:rPr>
        <w:br/>
        <w:t>III - Necessidade de ordenamento urbano.</w:t>
      </w:r>
    </w:p>
    <w:p w14:paraId="658EE14C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6º</w:t>
      </w:r>
      <w:r w:rsidRPr="0031321D">
        <w:rPr>
          <w:sz w:val="24"/>
          <w:szCs w:val="24"/>
          <w:lang w:val="pt-BR" w:eastAsia="pt-BR"/>
        </w:rPr>
        <w:t> Fica criado o </w:t>
      </w:r>
      <w:r w:rsidRPr="0031321D">
        <w:rPr>
          <w:b/>
          <w:bCs/>
          <w:sz w:val="24"/>
          <w:szCs w:val="24"/>
          <w:lang w:val="pt-BR" w:eastAsia="pt-BR"/>
        </w:rPr>
        <w:t>Comitê Gestor da Regularização Fundiária</w:t>
      </w:r>
      <w:r w:rsidRPr="0031321D">
        <w:rPr>
          <w:sz w:val="24"/>
          <w:szCs w:val="24"/>
          <w:lang w:val="pt-BR" w:eastAsia="pt-BR"/>
        </w:rPr>
        <w:t>, composto por representantes:</w:t>
      </w:r>
      <w:r w:rsidRPr="0031321D">
        <w:rPr>
          <w:sz w:val="24"/>
          <w:szCs w:val="24"/>
          <w:lang w:val="pt-BR" w:eastAsia="pt-BR"/>
        </w:rPr>
        <w:br/>
        <w:t>I - Da Prefeitura Municipal (Secretarias de Habitação, Urbanismo e Meio Ambiente);</w:t>
      </w:r>
      <w:r w:rsidRPr="0031321D">
        <w:rPr>
          <w:sz w:val="24"/>
          <w:szCs w:val="24"/>
          <w:lang w:val="pt-BR" w:eastAsia="pt-BR"/>
        </w:rPr>
        <w:br/>
        <w:t>II - Da Defensoria Pública ou Ministério Público;</w:t>
      </w:r>
      <w:r w:rsidRPr="0031321D">
        <w:rPr>
          <w:sz w:val="24"/>
          <w:szCs w:val="24"/>
          <w:lang w:val="pt-BR" w:eastAsia="pt-BR"/>
        </w:rPr>
        <w:br/>
        <w:t>III - De associações de moradores das áreas a serem regularizadas.</w:t>
      </w:r>
    </w:p>
    <w:p w14:paraId="3565FF65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7º</w:t>
      </w:r>
      <w:r w:rsidRPr="0031321D">
        <w:rPr>
          <w:sz w:val="24"/>
          <w:szCs w:val="24"/>
          <w:lang w:val="pt-BR" w:eastAsia="pt-BR"/>
        </w:rPr>
        <w:t> Os recursos para implementação desta lei virão de:</w:t>
      </w:r>
      <w:r w:rsidRPr="0031321D">
        <w:rPr>
          <w:sz w:val="24"/>
          <w:szCs w:val="24"/>
          <w:lang w:val="pt-BR" w:eastAsia="pt-BR"/>
        </w:rPr>
        <w:br/>
        <w:t>I - Orçamento municipal;</w:t>
      </w:r>
      <w:r w:rsidRPr="0031321D">
        <w:rPr>
          <w:sz w:val="24"/>
          <w:szCs w:val="24"/>
          <w:lang w:val="pt-BR" w:eastAsia="pt-BR"/>
        </w:rPr>
        <w:br/>
        <w:t>II - Convênios com União e Estado;</w:t>
      </w:r>
      <w:r w:rsidRPr="0031321D">
        <w:rPr>
          <w:sz w:val="24"/>
          <w:szCs w:val="24"/>
          <w:lang w:val="pt-BR" w:eastAsia="pt-BR"/>
        </w:rPr>
        <w:br/>
        <w:t>III - Doações e emendas parlamentares.</w:t>
      </w:r>
    </w:p>
    <w:p w14:paraId="250396EA" w14:textId="77777777" w:rsidR="0031321D" w:rsidRPr="0031321D" w:rsidRDefault="0031321D" w:rsidP="0031321D">
      <w:pPr>
        <w:widowControl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1321D">
        <w:rPr>
          <w:b/>
          <w:bCs/>
          <w:sz w:val="24"/>
          <w:szCs w:val="24"/>
          <w:lang w:val="pt-BR" w:eastAsia="pt-BR"/>
        </w:rPr>
        <w:t>Art. 8º</w:t>
      </w:r>
      <w:r w:rsidRPr="0031321D">
        <w:rPr>
          <w:sz w:val="24"/>
          <w:szCs w:val="24"/>
          <w:lang w:val="pt-BR" w:eastAsia="pt-BR"/>
        </w:rPr>
        <w:t> Esta lei entra em vigor na data de sua publicação.</w:t>
      </w:r>
    </w:p>
    <w:p w14:paraId="579894E3" w14:textId="00CA5D2D" w:rsidR="007C37BE" w:rsidRPr="00DE6C8E" w:rsidRDefault="007C37BE" w:rsidP="007C37BE">
      <w:pPr>
        <w:pStyle w:val="Corpodetexto"/>
        <w:spacing w:before="198"/>
        <w:ind w:left="1"/>
        <w:jc w:val="both"/>
        <w:rPr>
          <w:lang w:val="pt-BR"/>
        </w:rPr>
      </w:pPr>
    </w:p>
    <w:p w14:paraId="610793C1" w14:textId="30D0E7BE" w:rsidR="00B9512A" w:rsidRDefault="00180B24">
      <w:pPr>
        <w:ind w:right="139"/>
        <w:jc w:val="center"/>
      </w:pPr>
      <w:bookmarkStart w:id="2" w:name="Sala_Barão_do_Rio_Bonito,_03_de_janeiro_"/>
      <w:bookmarkEnd w:id="2"/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>
        <w:t xml:space="preserve">Barra do Piraí </w:t>
      </w:r>
      <w:r w:rsidR="00741E4F">
        <w:t>,</w:t>
      </w:r>
      <w:r w:rsidR="00741E4F">
        <w:rPr>
          <w:spacing w:val="-2"/>
        </w:rPr>
        <w:t xml:space="preserve"> </w:t>
      </w:r>
      <w:r w:rsidR="00CD4360">
        <w:t>09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CD4360">
        <w:t>abril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610793C2" w14:textId="6FE3ED65" w:rsidR="00B9512A" w:rsidRDefault="00B9512A">
      <w:pPr>
        <w:pStyle w:val="Corpodetexto"/>
        <w:spacing w:before="5"/>
        <w:rPr>
          <w:sz w:val="11"/>
        </w:rPr>
      </w:pPr>
    </w:p>
    <w:p w14:paraId="610793C3" w14:textId="30E2D9C0" w:rsidR="00B9512A" w:rsidRDefault="00B9512A">
      <w:pPr>
        <w:pStyle w:val="Corpodetexto"/>
        <w:spacing w:before="104"/>
        <w:rPr>
          <w:sz w:val="22"/>
        </w:rPr>
      </w:pPr>
    </w:p>
    <w:p w14:paraId="08D27B53" w14:textId="7DB1BE77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6E7D058F" w:rsidR="00B9512A" w:rsidRDefault="00741E4F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610793C5" w14:textId="77777777" w:rsidR="00B9512A" w:rsidRDefault="00741E4F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Vereador</w:t>
      </w:r>
    </w:p>
    <w:p w14:paraId="610793C6" w14:textId="77777777" w:rsidR="00B9512A" w:rsidRDefault="00B9512A">
      <w:pPr>
        <w:pStyle w:val="Corpodetexto"/>
        <w:rPr>
          <w:sz w:val="22"/>
        </w:rPr>
      </w:pPr>
    </w:p>
    <w:p w14:paraId="610793CA" w14:textId="77777777" w:rsidR="00B9512A" w:rsidRDefault="00B9512A">
      <w:pPr>
        <w:pStyle w:val="Corpodetexto"/>
        <w:spacing w:before="102"/>
        <w:rPr>
          <w:sz w:val="22"/>
        </w:rPr>
      </w:pPr>
    </w:p>
    <w:p w14:paraId="367825EA" w14:textId="77777777" w:rsidR="004E5444" w:rsidRDefault="004E5444">
      <w:pPr>
        <w:pStyle w:val="Corpodetexto"/>
        <w:spacing w:before="102"/>
        <w:rPr>
          <w:sz w:val="22"/>
        </w:rPr>
      </w:pPr>
    </w:p>
    <w:p w14:paraId="610793CB" w14:textId="77777777" w:rsidR="00B9512A" w:rsidRDefault="00741E4F">
      <w:pPr>
        <w:pStyle w:val="Ttulo"/>
        <w:rPr>
          <w:spacing w:val="-2"/>
        </w:rPr>
      </w:pPr>
      <w:bookmarkStart w:id="4" w:name="Justificativa"/>
      <w:bookmarkEnd w:id="4"/>
      <w:r>
        <w:rPr>
          <w:spacing w:val="-2"/>
        </w:rPr>
        <w:t>Justificativa</w:t>
      </w:r>
    </w:p>
    <w:p w14:paraId="6C756E6F" w14:textId="77777777" w:rsidR="00987391" w:rsidRDefault="00987391">
      <w:pPr>
        <w:pStyle w:val="Ttulo"/>
        <w:rPr>
          <w:spacing w:val="-2"/>
        </w:rPr>
      </w:pPr>
    </w:p>
    <w:p w14:paraId="2FAFB074" w14:textId="77777777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O presente projeto de lei visa garantir </w:t>
      </w:r>
      <w:r w:rsidRPr="00C47FD3">
        <w:rPr>
          <w:b/>
          <w:bCs/>
          <w:lang w:val="pt-BR" w:eastAsia="pt-BR"/>
        </w:rPr>
        <w:t>segurança jurídica, dignidade e inclusão social</w:t>
      </w:r>
      <w:r w:rsidRPr="00C47FD3">
        <w:rPr>
          <w:lang w:val="pt-BR" w:eastAsia="pt-BR"/>
        </w:rPr>
        <w:t> às famílias de baixa renda que ocupam terrenos irregulares no Município de </w:t>
      </w:r>
      <w:r w:rsidRPr="00C47FD3">
        <w:rPr>
          <w:b/>
          <w:bCs/>
          <w:lang w:val="pt-BR" w:eastAsia="pt-BR"/>
        </w:rPr>
        <w:t>Barra do Piraí</w:t>
      </w:r>
      <w:r w:rsidRPr="00C47FD3">
        <w:rPr>
          <w:lang w:val="pt-BR" w:eastAsia="pt-BR"/>
        </w:rPr>
        <w:t>, promovendo a </w:t>
      </w:r>
      <w:r w:rsidRPr="00C47FD3">
        <w:rPr>
          <w:b/>
          <w:bCs/>
          <w:lang w:val="pt-BR" w:eastAsia="pt-BR"/>
        </w:rPr>
        <w:t>regularização fundiária de interesse social</w:t>
      </w:r>
      <w:r w:rsidRPr="00C47FD3">
        <w:rPr>
          <w:lang w:val="pt-BR" w:eastAsia="pt-BR"/>
        </w:rPr>
        <w:t> e o desenvolvimento urbano sustentável.</w:t>
      </w:r>
    </w:p>
    <w:p w14:paraId="02110F83" w14:textId="77777777" w:rsidR="00C47FD3" w:rsidRPr="00C47FD3" w:rsidRDefault="00C47FD3" w:rsidP="00C47FD3">
      <w:pPr>
        <w:widowControl/>
        <w:autoSpaceDE/>
        <w:autoSpaceDN/>
        <w:spacing w:before="274" w:after="206"/>
        <w:outlineLvl w:val="2"/>
        <w:rPr>
          <w:lang w:val="pt-BR" w:eastAsia="pt-BR"/>
        </w:rPr>
      </w:pPr>
      <w:r w:rsidRPr="00C47FD3">
        <w:rPr>
          <w:b/>
          <w:bCs/>
          <w:lang w:val="pt-BR" w:eastAsia="pt-BR"/>
        </w:rPr>
        <w:t>1. Contexto e Necessidade</w:t>
      </w:r>
    </w:p>
    <w:p w14:paraId="638CBEFF" w14:textId="77777777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Barra do Piraí, como muitos municípios brasileiros, enfrenta o desafio de </w:t>
      </w:r>
      <w:r w:rsidRPr="00C47FD3">
        <w:rPr>
          <w:b/>
          <w:bCs/>
          <w:lang w:val="pt-BR" w:eastAsia="pt-BR"/>
        </w:rPr>
        <w:t>assentamentos informais</w:t>
      </w:r>
      <w:r w:rsidRPr="00C47FD3">
        <w:rPr>
          <w:lang w:val="pt-BR" w:eastAsia="pt-BR"/>
        </w:rPr>
        <w:t>, onde milhares de famílias vivem em áreas sem titulação definitiva, sem acesso adequado a infraestrutura e sob constante insegurança jurídica. A falta de regularização:</w:t>
      </w:r>
    </w:p>
    <w:p w14:paraId="29883580" w14:textId="77777777" w:rsidR="00C47FD3" w:rsidRPr="00C47FD3" w:rsidRDefault="00C47FD3" w:rsidP="00C47FD3">
      <w:pPr>
        <w:widowControl/>
        <w:numPr>
          <w:ilvl w:val="0"/>
          <w:numId w:val="6"/>
        </w:numPr>
        <w:autoSpaceDE/>
        <w:autoSpaceDN/>
        <w:spacing w:line="429" w:lineRule="atLeast"/>
        <w:rPr>
          <w:lang w:val="pt-BR" w:eastAsia="pt-BR"/>
        </w:rPr>
      </w:pPr>
      <w:r w:rsidRPr="00C47FD3">
        <w:rPr>
          <w:b/>
          <w:bCs/>
          <w:lang w:val="pt-BR" w:eastAsia="pt-BR"/>
        </w:rPr>
        <w:lastRenderedPageBreak/>
        <w:t>Inviabiliza o acesso a crédito imobiliário e políticas públicas</w:t>
      </w:r>
      <w:r w:rsidRPr="00C47FD3">
        <w:rPr>
          <w:lang w:val="pt-BR" w:eastAsia="pt-BR"/>
        </w:rPr>
        <w:t> (como luz, água e saneamento);</w:t>
      </w:r>
    </w:p>
    <w:p w14:paraId="69793974" w14:textId="77777777" w:rsidR="00C47FD3" w:rsidRPr="00C47FD3" w:rsidRDefault="00C47FD3" w:rsidP="00C47FD3">
      <w:pPr>
        <w:widowControl/>
        <w:numPr>
          <w:ilvl w:val="0"/>
          <w:numId w:val="6"/>
        </w:numPr>
        <w:autoSpaceDE/>
        <w:autoSpaceDN/>
        <w:spacing w:line="429" w:lineRule="atLeast"/>
        <w:rPr>
          <w:lang w:val="pt-BR" w:eastAsia="pt-BR"/>
        </w:rPr>
      </w:pPr>
      <w:r w:rsidRPr="00C47FD3">
        <w:rPr>
          <w:b/>
          <w:bCs/>
          <w:lang w:val="pt-BR" w:eastAsia="pt-BR"/>
        </w:rPr>
        <w:t>Gera conflitos fundiários</w:t>
      </w:r>
      <w:r w:rsidRPr="00C47FD3">
        <w:rPr>
          <w:lang w:val="pt-BR" w:eastAsia="pt-BR"/>
        </w:rPr>
        <w:t> e incertezas sobre a posse da terra;</w:t>
      </w:r>
    </w:p>
    <w:p w14:paraId="6A9DFBB1" w14:textId="77777777" w:rsidR="00C47FD3" w:rsidRPr="00C47FD3" w:rsidRDefault="00C47FD3" w:rsidP="00C47FD3">
      <w:pPr>
        <w:widowControl/>
        <w:numPr>
          <w:ilvl w:val="0"/>
          <w:numId w:val="6"/>
        </w:numPr>
        <w:autoSpaceDE/>
        <w:autoSpaceDN/>
        <w:spacing w:line="429" w:lineRule="atLeast"/>
        <w:rPr>
          <w:lang w:val="pt-BR" w:eastAsia="pt-BR"/>
        </w:rPr>
      </w:pPr>
      <w:r w:rsidRPr="00C47FD3">
        <w:rPr>
          <w:b/>
          <w:bCs/>
          <w:lang w:val="pt-BR" w:eastAsia="pt-BR"/>
        </w:rPr>
        <w:t>Dificulta o planejamento urbano</w:t>
      </w:r>
      <w:r w:rsidRPr="00C47FD3">
        <w:rPr>
          <w:lang w:val="pt-BR" w:eastAsia="pt-BR"/>
        </w:rPr>
        <w:t>, perpetuando desigualdades socioespaciais.</w:t>
      </w:r>
    </w:p>
    <w:p w14:paraId="49CDAC5D" w14:textId="77777777" w:rsidR="00C47FD3" w:rsidRPr="00C47FD3" w:rsidRDefault="00C47FD3" w:rsidP="00C47FD3">
      <w:pPr>
        <w:widowControl/>
        <w:autoSpaceDE/>
        <w:autoSpaceDN/>
        <w:spacing w:before="274" w:after="206"/>
        <w:outlineLvl w:val="2"/>
        <w:rPr>
          <w:lang w:val="pt-BR" w:eastAsia="pt-BR"/>
        </w:rPr>
      </w:pPr>
      <w:r w:rsidRPr="00C47FD3">
        <w:rPr>
          <w:b/>
          <w:bCs/>
          <w:lang w:val="pt-BR" w:eastAsia="pt-BR"/>
        </w:rPr>
        <w:t>2. Fundamentação Legal</w:t>
      </w:r>
    </w:p>
    <w:p w14:paraId="725A374F" w14:textId="77777777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Esta proposta está alinhada com:</w:t>
      </w:r>
    </w:p>
    <w:p w14:paraId="0A08D580" w14:textId="77777777" w:rsidR="00C47FD3" w:rsidRPr="00C47FD3" w:rsidRDefault="00C47FD3" w:rsidP="00C47FD3">
      <w:pPr>
        <w:widowControl/>
        <w:numPr>
          <w:ilvl w:val="0"/>
          <w:numId w:val="7"/>
        </w:numPr>
        <w:autoSpaceDE/>
        <w:autoSpaceDN/>
        <w:spacing w:line="429" w:lineRule="atLeast"/>
        <w:rPr>
          <w:lang w:val="pt-BR" w:eastAsia="pt-BR"/>
        </w:rPr>
      </w:pPr>
      <w:r w:rsidRPr="00C47FD3">
        <w:rPr>
          <w:b/>
          <w:bCs/>
          <w:lang w:val="pt-BR" w:eastAsia="pt-BR"/>
        </w:rPr>
        <w:t>Constituição Federal (Art. 182 e 183)</w:t>
      </w:r>
      <w:r w:rsidRPr="00C47FD3">
        <w:rPr>
          <w:lang w:val="pt-BR" w:eastAsia="pt-BR"/>
        </w:rPr>
        <w:t> – Prevê a </w:t>
      </w:r>
      <w:r w:rsidRPr="00C47FD3">
        <w:rPr>
          <w:b/>
          <w:bCs/>
          <w:lang w:val="pt-BR" w:eastAsia="pt-BR"/>
        </w:rPr>
        <w:t>função social da propriedade</w:t>
      </w:r>
      <w:r w:rsidRPr="00C47FD3">
        <w:rPr>
          <w:lang w:val="pt-BR" w:eastAsia="pt-BR"/>
        </w:rPr>
        <w:t xml:space="preserve"> e </w:t>
      </w:r>
      <w:proofErr w:type="gramStart"/>
      <w:r w:rsidRPr="00C47FD3">
        <w:rPr>
          <w:lang w:val="pt-BR" w:eastAsia="pt-BR"/>
        </w:rPr>
        <w:t>o </w:t>
      </w:r>
      <w:r w:rsidRPr="00C47FD3">
        <w:rPr>
          <w:b/>
          <w:bCs/>
          <w:lang w:val="pt-BR" w:eastAsia="pt-BR"/>
        </w:rPr>
        <w:t>usucapião</w:t>
      </w:r>
      <w:proofErr w:type="gramEnd"/>
      <w:r w:rsidRPr="00C47FD3">
        <w:rPr>
          <w:b/>
          <w:bCs/>
          <w:lang w:val="pt-BR" w:eastAsia="pt-BR"/>
        </w:rPr>
        <w:t xml:space="preserve"> urbano</w:t>
      </w:r>
      <w:r w:rsidRPr="00C47FD3">
        <w:rPr>
          <w:lang w:val="pt-BR" w:eastAsia="pt-BR"/>
        </w:rPr>
        <w:t>;</w:t>
      </w:r>
    </w:p>
    <w:p w14:paraId="0FF35676" w14:textId="77777777" w:rsidR="00C47FD3" w:rsidRPr="00C47FD3" w:rsidRDefault="00C47FD3" w:rsidP="00C47FD3">
      <w:pPr>
        <w:widowControl/>
        <w:numPr>
          <w:ilvl w:val="0"/>
          <w:numId w:val="7"/>
        </w:numPr>
        <w:autoSpaceDE/>
        <w:autoSpaceDN/>
        <w:spacing w:line="429" w:lineRule="atLeast"/>
        <w:rPr>
          <w:lang w:val="pt-BR" w:eastAsia="pt-BR"/>
        </w:rPr>
      </w:pPr>
      <w:r w:rsidRPr="00C47FD3">
        <w:rPr>
          <w:b/>
          <w:bCs/>
          <w:lang w:val="pt-BR" w:eastAsia="pt-BR"/>
        </w:rPr>
        <w:t>Estatuto da Cidade (Lei 10.257/2001)</w:t>
      </w:r>
      <w:r w:rsidRPr="00C47FD3">
        <w:rPr>
          <w:lang w:val="pt-BR" w:eastAsia="pt-BR"/>
        </w:rPr>
        <w:t> – Estabelece diretrizes para regularização fundiária;</w:t>
      </w:r>
    </w:p>
    <w:p w14:paraId="0548A0DF" w14:textId="77777777" w:rsidR="00C47FD3" w:rsidRPr="00C47FD3" w:rsidRDefault="00C47FD3" w:rsidP="00C47FD3">
      <w:pPr>
        <w:widowControl/>
        <w:numPr>
          <w:ilvl w:val="0"/>
          <w:numId w:val="7"/>
        </w:numPr>
        <w:autoSpaceDE/>
        <w:autoSpaceDN/>
        <w:spacing w:line="429" w:lineRule="atLeast"/>
        <w:rPr>
          <w:lang w:val="pt-BR" w:eastAsia="pt-BR"/>
        </w:rPr>
      </w:pPr>
      <w:r w:rsidRPr="00C47FD3">
        <w:rPr>
          <w:b/>
          <w:bCs/>
          <w:lang w:val="pt-BR" w:eastAsia="pt-BR"/>
        </w:rPr>
        <w:t>Lei Federal 11.977/2009 (PMCMV)</w:t>
      </w:r>
      <w:r w:rsidRPr="00C47FD3">
        <w:rPr>
          <w:lang w:val="pt-BR" w:eastAsia="pt-BR"/>
        </w:rPr>
        <w:t> e </w:t>
      </w:r>
      <w:r w:rsidRPr="00C47FD3">
        <w:rPr>
          <w:b/>
          <w:bCs/>
          <w:lang w:val="pt-BR" w:eastAsia="pt-BR"/>
        </w:rPr>
        <w:t>Lei 13.465/2017</w:t>
      </w:r>
      <w:r w:rsidRPr="00C47FD3">
        <w:rPr>
          <w:lang w:val="pt-BR" w:eastAsia="pt-BR"/>
        </w:rPr>
        <w:t> – Criaram instrumentos para titulação de áreas ocupadas por populações vulneráveis.</w:t>
      </w:r>
    </w:p>
    <w:p w14:paraId="4E5040BC" w14:textId="77777777" w:rsidR="00C47FD3" w:rsidRPr="00C47FD3" w:rsidRDefault="00C47FD3" w:rsidP="00C47FD3">
      <w:pPr>
        <w:widowControl/>
        <w:autoSpaceDE/>
        <w:autoSpaceDN/>
        <w:spacing w:before="274" w:after="206"/>
        <w:outlineLvl w:val="2"/>
        <w:rPr>
          <w:lang w:val="pt-BR" w:eastAsia="pt-BR"/>
        </w:rPr>
      </w:pPr>
      <w:r w:rsidRPr="00C47FD3">
        <w:rPr>
          <w:b/>
          <w:bCs/>
          <w:lang w:val="pt-BR" w:eastAsia="pt-BR"/>
        </w:rPr>
        <w:t>3. Benefícios para Barra do Piraí</w:t>
      </w:r>
    </w:p>
    <w:p w14:paraId="77D04F33" w14:textId="4F3D82FC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A regularização trará:</w:t>
      </w:r>
      <w:r w:rsidRPr="00C47FD3">
        <w:rPr>
          <w:lang w:val="pt-BR" w:eastAsia="pt-BR"/>
        </w:rPr>
        <w:br/>
      </w:r>
      <w:r w:rsidR="00D5767C" w:rsidRPr="004E5444">
        <w:rPr>
          <w:lang w:val="pt-BR" w:eastAsia="pt-BR"/>
        </w:rPr>
        <w:t xml:space="preserve">* </w:t>
      </w:r>
      <w:r w:rsidRPr="00C47FD3">
        <w:rPr>
          <w:b/>
          <w:bCs/>
          <w:lang w:val="pt-BR" w:eastAsia="pt-BR"/>
        </w:rPr>
        <w:t>Redução da pobreza e desigualdade</w:t>
      </w:r>
      <w:r w:rsidRPr="00C47FD3">
        <w:rPr>
          <w:lang w:val="pt-BR" w:eastAsia="pt-BR"/>
        </w:rPr>
        <w:t> – Famílias terão direitos garantidos e poderão investir em suas moradias;</w:t>
      </w:r>
      <w:r w:rsidRPr="00C47FD3">
        <w:rPr>
          <w:lang w:val="pt-BR" w:eastAsia="pt-BR"/>
        </w:rPr>
        <w:br/>
      </w:r>
      <w:r w:rsidR="00D5767C" w:rsidRPr="004E5444">
        <w:rPr>
          <w:lang w:val="pt-BR" w:eastAsia="pt-BR"/>
        </w:rPr>
        <w:t>*</w:t>
      </w:r>
      <w:r w:rsidRPr="00C47FD3">
        <w:rPr>
          <w:lang w:val="pt-BR" w:eastAsia="pt-BR"/>
        </w:rPr>
        <w:t> </w:t>
      </w:r>
      <w:r w:rsidRPr="00C47FD3">
        <w:rPr>
          <w:b/>
          <w:bCs/>
          <w:lang w:val="pt-BR" w:eastAsia="pt-BR"/>
        </w:rPr>
        <w:t>Melhoria urbana e ambiental</w:t>
      </w:r>
      <w:r w:rsidRPr="00C47FD3">
        <w:rPr>
          <w:lang w:val="pt-BR" w:eastAsia="pt-BR"/>
        </w:rPr>
        <w:t> – Áreas regularizadas poderão receber infraestrutura básica;</w:t>
      </w:r>
      <w:r w:rsidRPr="00C47FD3">
        <w:rPr>
          <w:lang w:val="pt-BR" w:eastAsia="pt-BR"/>
        </w:rPr>
        <w:br/>
      </w:r>
      <w:r w:rsidR="00D5767C" w:rsidRPr="004E5444">
        <w:rPr>
          <w:lang w:val="pt-BR" w:eastAsia="pt-BR"/>
        </w:rPr>
        <w:t>*</w:t>
      </w:r>
      <w:r w:rsidRPr="00C47FD3">
        <w:rPr>
          <w:lang w:val="pt-BR" w:eastAsia="pt-BR"/>
        </w:rPr>
        <w:t> </w:t>
      </w:r>
      <w:r w:rsidRPr="00C47FD3">
        <w:rPr>
          <w:b/>
          <w:bCs/>
          <w:lang w:val="pt-BR" w:eastAsia="pt-BR"/>
        </w:rPr>
        <w:t>Fomento à economia local</w:t>
      </w:r>
      <w:r w:rsidRPr="00C47FD3">
        <w:rPr>
          <w:lang w:val="pt-BR" w:eastAsia="pt-BR"/>
        </w:rPr>
        <w:t> – Títulos de propriedade permitem empréstimos e formalização de negócios;</w:t>
      </w:r>
      <w:r w:rsidRPr="00C47FD3">
        <w:rPr>
          <w:lang w:val="pt-BR" w:eastAsia="pt-BR"/>
        </w:rPr>
        <w:br/>
      </w:r>
      <w:r w:rsidR="00D5767C" w:rsidRPr="004E5444">
        <w:rPr>
          <w:lang w:val="pt-BR" w:eastAsia="pt-BR"/>
        </w:rPr>
        <w:t>*</w:t>
      </w:r>
      <w:r w:rsidRPr="00C47FD3">
        <w:rPr>
          <w:lang w:val="pt-BR" w:eastAsia="pt-BR"/>
        </w:rPr>
        <w:t> </w:t>
      </w:r>
      <w:r w:rsidRPr="00C47FD3">
        <w:rPr>
          <w:b/>
          <w:bCs/>
          <w:lang w:val="pt-BR" w:eastAsia="pt-BR"/>
        </w:rPr>
        <w:t>Redução de litígios judiciais</w:t>
      </w:r>
      <w:r w:rsidRPr="00C47FD3">
        <w:rPr>
          <w:lang w:val="pt-BR" w:eastAsia="pt-BR"/>
        </w:rPr>
        <w:t> – Solução pacífica para conflitos de terra.</w:t>
      </w:r>
    </w:p>
    <w:p w14:paraId="0D7B4EBE" w14:textId="77777777" w:rsidR="00C47FD3" w:rsidRPr="00C47FD3" w:rsidRDefault="00C47FD3" w:rsidP="00C47FD3">
      <w:pPr>
        <w:widowControl/>
        <w:autoSpaceDE/>
        <w:autoSpaceDN/>
        <w:spacing w:before="274" w:after="206"/>
        <w:outlineLvl w:val="2"/>
        <w:rPr>
          <w:lang w:val="pt-BR" w:eastAsia="pt-BR"/>
        </w:rPr>
      </w:pPr>
      <w:r w:rsidRPr="00C47FD3">
        <w:rPr>
          <w:b/>
          <w:bCs/>
          <w:lang w:val="pt-BR" w:eastAsia="pt-BR"/>
        </w:rPr>
        <w:t>4. Experiências Bem-Sucedidas</w:t>
      </w:r>
    </w:p>
    <w:p w14:paraId="4E888233" w14:textId="77777777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Cidades como </w:t>
      </w:r>
      <w:r w:rsidRPr="00C47FD3">
        <w:rPr>
          <w:b/>
          <w:bCs/>
          <w:lang w:val="pt-BR" w:eastAsia="pt-BR"/>
        </w:rPr>
        <w:t>Diadema (SP)</w:t>
      </w:r>
      <w:r w:rsidRPr="00C47FD3">
        <w:rPr>
          <w:lang w:val="pt-BR" w:eastAsia="pt-BR"/>
        </w:rPr>
        <w:t>, </w:t>
      </w:r>
      <w:r w:rsidRPr="00C47FD3">
        <w:rPr>
          <w:b/>
          <w:bCs/>
          <w:lang w:val="pt-BR" w:eastAsia="pt-BR"/>
        </w:rPr>
        <w:t>Recife (PE)</w:t>
      </w:r>
      <w:r w:rsidRPr="00C47FD3">
        <w:rPr>
          <w:lang w:val="pt-BR" w:eastAsia="pt-BR"/>
        </w:rPr>
        <w:t> e </w:t>
      </w:r>
      <w:r w:rsidRPr="00C47FD3">
        <w:rPr>
          <w:b/>
          <w:bCs/>
          <w:lang w:val="pt-BR" w:eastAsia="pt-BR"/>
        </w:rPr>
        <w:t>Porto Alegre (RS)</w:t>
      </w:r>
      <w:r w:rsidRPr="00C47FD3">
        <w:rPr>
          <w:lang w:val="pt-BR" w:eastAsia="pt-BR"/>
        </w:rPr>
        <w:t> já adotaram políticas semelhantes, com resultados positivos na </w:t>
      </w:r>
      <w:r w:rsidRPr="00C47FD3">
        <w:rPr>
          <w:b/>
          <w:bCs/>
          <w:lang w:val="pt-BR" w:eastAsia="pt-BR"/>
        </w:rPr>
        <w:t>redução de favelas e inclusão socioeconômica</w:t>
      </w:r>
      <w:r w:rsidRPr="00C47FD3">
        <w:rPr>
          <w:lang w:val="pt-BR" w:eastAsia="pt-BR"/>
        </w:rPr>
        <w:t>.</w:t>
      </w:r>
    </w:p>
    <w:p w14:paraId="65F7BAB0" w14:textId="77777777" w:rsidR="00C47FD3" w:rsidRPr="00C47FD3" w:rsidRDefault="00C47FD3" w:rsidP="00C47FD3">
      <w:pPr>
        <w:widowControl/>
        <w:autoSpaceDE/>
        <w:autoSpaceDN/>
        <w:spacing w:before="274" w:after="206"/>
        <w:outlineLvl w:val="2"/>
        <w:rPr>
          <w:lang w:val="pt-BR" w:eastAsia="pt-BR"/>
        </w:rPr>
      </w:pPr>
      <w:r w:rsidRPr="00C47FD3">
        <w:rPr>
          <w:b/>
          <w:bCs/>
          <w:lang w:val="pt-BR" w:eastAsia="pt-BR"/>
        </w:rPr>
        <w:t>5. Engajamento Social</w:t>
      </w:r>
    </w:p>
    <w:p w14:paraId="6BC1DBCF" w14:textId="77777777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O projeto prevê a </w:t>
      </w:r>
      <w:r w:rsidRPr="00C47FD3">
        <w:rPr>
          <w:b/>
          <w:bCs/>
          <w:lang w:val="pt-BR" w:eastAsia="pt-BR"/>
        </w:rPr>
        <w:t>participação popular</w:t>
      </w:r>
      <w:r w:rsidRPr="00C47FD3">
        <w:rPr>
          <w:lang w:val="pt-BR" w:eastAsia="pt-BR"/>
        </w:rPr>
        <w:t> por meio de audiências públicas e consultas às comunidades envolvidas, garantindo transparência e legitimidade ao processo.</w:t>
      </w:r>
    </w:p>
    <w:p w14:paraId="1FC4FBB9" w14:textId="77777777" w:rsidR="00C47FD3" w:rsidRPr="00C47FD3" w:rsidRDefault="00C47FD3" w:rsidP="00C47FD3">
      <w:pPr>
        <w:widowControl/>
        <w:autoSpaceDE/>
        <w:autoSpaceDN/>
        <w:spacing w:before="206" w:after="206" w:line="429" w:lineRule="atLeast"/>
        <w:rPr>
          <w:lang w:val="pt-BR" w:eastAsia="pt-BR"/>
        </w:rPr>
      </w:pPr>
      <w:r w:rsidRPr="00C47FD3">
        <w:rPr>
          <w:lang w:val="pt-BR" w:eastAsia="pt-BR"/>
        </w:rPr>
        <w:t>Diante do exposto, justifica-se a urgência desta lei para </w:t>
      </w:r>
      <w:r w:rsidRPr="00C47FD3">
        <w:rPr>
          <w:b/>
          <w:bCs/>
          <w:lang w:val="pt-BR" w:eastAsia="pt-BR"/>
        </w:rPr>
        <w:t>promover justiça social, ordenamento territorial e desenvolvimento sustentável</w:t>
      </w:r>
      <w:r w:rsidRPr="00C47FD3">
        <w:rPr>
          <w:lang w:val="pt-BR" w:eastAsia="pt-BR"/>
        </w:rPr>
        <w:t> em Barra do Piraí. A regularização fundiária não é apenas uma questão jurídica, mas um </w:t>
      </w:r>
      <w:r w:rsidRPr="00C47FD3">
        <w:rPr>
          <w:b/>
          <w:bCs/>
          <w:lang w:val="pt-BR" w:eastAsia="pt-BR"/>
        </w:rPr>
        <w:t>direito humano à moradia digna</w:t>
      </w:r>
      <w:r w:rsidRPr="00C47FD3">
        <w:rPr>
          <w:lang w:val="pt-BR" w:eastAsia="pt-BR"/>
        </w:rPr>
        <w:t>, conforme previsto no </w:t>
      </w:r>
      <w:r w:rsidRPr="00C47FD3">
        <w:rPr>
          <w:b/>
          <w:bCs/>
          <w:lang w:val="pt-BR" w:eastAsia="pt-BR"/>
        </w:rPr>
        <w:t>Art. 6º da Constituição Federal</w:t>
      </w:r>
      <w:r w:rsidRPr="00C47FD3">
        <w:rPr>
          <w:lang w:val="pt-BR" w:eastAsia="pt-BR"/>
        </w:rPr>
        <w:t>.</w:t>
      </w:r>
    </w:p>
    <w:p w14:paraId="610793D2" w14:textId="77777777" w:rsidR="00B9512A" w:rsidRPr="00D515CF" w:rsidRDefault="00B9512A">
      <w:pPr>
        <w:pStyle w:val="Corpodetexto"/>
        <w:spacing w:before="15"/>
        <w:rPr>
          <w:sz w:val="22"/>
          <w:szCs w:val="22"/>
          <w:lang w:val="pt-BR"/>
        </w:rPr>
      </w:pPr>
    </w:p>
    <w:p w14:paraId="610793D3" w14:textId="77777777" w:rsidR="00B9512A" w:rsidRDefault="00741E4F">
      <w:pPr>
        <w:ind w:right="137"/>
        <w:jc w:val="right"/>
        <w:rPr>
          <w:b/>
          <w:sz w:val="14"/>
        </w:rPr>
      </w:pPr>
      <w:r>
        <w:rPr>
          <w:sz w:val="14"/>
        </w:rPr>
        <w:t>Página</w:t>
      </w:r>
      <w:r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A27"/>
    <w:multiLevelType w:val="multilevel"/>
    <w:tmpl w:val="F36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40D5"/>
    <w:multiLevelType w:val="multilevel"/>
    <w:tmpl w:val="CDA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3"/>
  </w:num>
  <w:num w:numId="3" w16cid:durableId="219948318">
    <w:abstractNumId w:val="0"/>
  </w:num>
  <w:num w:numId="4" w16cid:durableId="1368725927">
    <w:abstractNumId w:val="5"/>
  </w:num>
  <w:num w:numId="5" w16cid:durableId="2044133413">
    <w:abstractNumId w:val="6"/>
  </w:num>
  <w:num w:numId="6" w16cid:durableId="1288663694">
    <w:abstractNumId w:val="4"/>
  </w:num>
  <w:num w:numId="7" w16cid:durableId="6792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24C48"/>
    <w:rsid w:val="00041416"/>
    <w:rsid w:val="00050D94"/>
    <w:rsid w:val="00065151"/>
    <w:rsid w:val="000669B6"/>
    <w:rsid w:val="00076346"/>
    <w:rsid w:val="0009246B"/>
    <w:rsid w:val="00092A11"/>
    <w:rsid w:val="000C29CF"/>
    <w:rsid w:val="000E0478"/>
    <w:rsid w:val="00103A8F"/>
    <w:rsid w:val="0010677E"/>
    <w:rsid w:val="0011220C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F77EF"/>
    <w:rsid w:val="002624C6"/>
    <w:rsid w:val="00275A74"/>
    <w:rsid w:val="002B1CE7"/>
    <w:rsid w:val="002C1D77"/>
    <w:rsid w:val="002D505A"/>
    <w:rsid w:val="002E0A58"/>
    <w:rsid w:val="002E3ACD"/>
    <w:rsid w:val="0031321D"/>
    <w:rsid w:val="003135DE"/>
    <w:rsid w:val="00320B52"/>
    <w:rsid w:val="00321C4C"/>
    <w:rsid w:val="003820CB"/>
    <w:rsid w:val="00390480"/>
    <w:rsid w:val="003A48A4"/>
    <w:rsid w:val="003C5BD7"/>
    <w:rsid w:val="003E0B23"/>
    <w:rsid w:val="00430C5B"/>
    <w:rsid w:val="00473C94"/>
    <w:rsid w:val="004905F6"/>
    <w:rsid w:val="004A383F"/>
    <w:rsid w:val="004B0762"/>
    <w:rsid w:val="004C052E"/>
    <w:rsid w:val="004D24AA"/>
    <w:rsid w:val="004E5444"/>
    <w:rsid w:val="004F1C39"/>
    <w:rsid w:val="00523CAF"/>
    <w:rsid w:val="005462D5"/>
    <w:rsid w:val="00550420"/>
    <w:rsid w:val="00552783"/>
    <w:rsid w:val="0055549C"/>
    <w:rsid w:val="00576748"/>
    <w:rsid w:val="00584CF1"/>
    <w:rsid w:val="00584CF6"/>
    <w:rsid w:val="005A57A2"/>
    <w:rsid w:val="005B7524"/>
    <w:rsid w:val="005E7648"/>
    <w:rsid w:val="005F064A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37308"/>
    <w:rsid w:val="00741E4F"/>
    <w:rsid w:val="00781981"/>
    <w:rsid w:val="00797F39"/>
    <w:rsid w:val="007A72A5"/>
    <w:rsid w:val="007C37BE"/>
    <w:rsid w:val="007E2E29"/>
    <w:rsid w:val="007F5555"/>
    <w:rsid w:val="007F57C1"/>
    <w:rsid w:val="00801AD7"/>
    <w:rsid w:val="00812797"/>
    <w:rsid w:val="00870E10"/>
    <w:rsid w:val="00870EEE"/>
    <w:rsid w:val="008828C0"/>
    <w:rsid w:val="008A3A15"/>
    <w:rsid w:val="008A55E6"/>
    <w:rsid w:val="008A697F"/>
    <w:rsid w:val="008B3B20"/>
    <w:rsid w:val="008F48EE"/>
    <w:rsid w:val="00902689"/>
    <w:rsid w:val="0091364F"/>
    <w:rsid w:val="00921A2E"/>
    <w:rsid w:val="00925EAA"/>
    <w:rsid w:val="00942DA8"/>
    <w:rsid w:val="00944C9C"/>
    <w:rsid w:val="009613F2"/>
    <w:rsid w:val="00961DC8"/>
    <w:rsid w:val="00986961"/>
    <w:rsid w:val="00987391"/>
    <w:rsid w:val="009B2348"/>
    <w:rsid w:val="009C0FAF"/>
    <w:rsid w:val="009E2C26"/>
    <w:rsid w:val="009F505F"/>
    <w:rsid w:val="00A106EB"/>
    <w:rsid w:val="00A91C28"/>
    <w:rsid w:val="00A93A0C"/>
    <w:rsid w:val="00AC406E"/>
    <w:rsid w:val="00B05EDF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47FD3"/>
    <w:rsid w:val="00C67161"/>
    <w:rsid w:val="00CC7631"/>
    <w:rsid w:val="00CC7B6A"/>
    <w:rsid w:val="00CD3D28"/>
    <w:rsid w:val="00CD4360"/>
    <w:rsid w:val="00CE1A42"/>
    <w:rsid w:val="00CE5E5E"/>
    <w:rsid w:val="00D1567E"/>
    <w:rsid w:val="00D22E0A"/>
    <w:rsid w:val="00D41E2C"/>
    <w:rsid w:val="00D515CF"/>
    <w:rsid w:val="00D5767C"/>
    <w:rsid w:val="00D755E8"/>
    <w:rsid w:val="00DB4F62"/>
    <w:rsid w:val="00DE6C8E"/>
    <w:rsid w:val="00DF576D"/>
    <w:rsid w:val="00E0240D"/>
    <w:rsid w:val="00E0579E"/>
    <w:rsid w:val="00E32B2A"/>
    <w:rsid w:val="00E33AFC"/>
    <w:rsid w:val="00E374E2"/>
    <w:rsid w:val="00E37537"/>
    <w:rsid w:val="00E64665"/>
    <w:rsid w:val="00E83541"/>
    <w:rsid w:val="00EA1E74"/>
    <w:rsid w:val="00EE1DE8"/>
    <w:rsid w:val="00EE51F3"/>
    <w:rsid w:val="00EE64FC"/>
    <w:rsid w:val="00EF6DB1"/>
    <w:rsid w:val="00F0794D"/>
    <w:rsid w:val="00F16D0F"/>
    <w:rsid w:val="00F23D93"/>
    <w:rsid w:val="00F3455B"/>
    <w:rsid w:val="00F55D2E"/>
    <w:rsid w:val="00F80CE1"/>
    <w:rsid w:val="00F82AD2"/>
    <w:rsid w:val="00F85C6A"/>
    <w:rsid w:val="00F8684F"/>
    <w:rsid w:val="00FC2744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0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2</cp:revision>
  <dcterms:created xsi:type="dcterms:W3CDTF">2025-04-09T18:05:00Z</dcterms:created>
  <dcterms:modified xsi:type="dcterms:W3CDTF">2025-04-09T18:05:00Z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