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   /2025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ACRESCE O PARÁGRAFO ÚNICO AO ART. 1º DA LEI MUNICIPAL N.º 3913/2025 E DÁ OUTRAS PROVIDÊNCIAS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firstLine="0"/>
      </w:pPr>
      <w:r w:rsidDel="00000000" w:rsidR="00000000" w:rsidRPr="00000000">
        <w:rPr>
          <w:rtl w:val="0"/>
        </w:rPr>
        <w:t xml:space="preserve">Esta lei altera a redação do art. 1º da Lei Municipal n.º 3913/2025, que passará a viger com a seguinte redação:</w:t>
      </w:r>
    </w:p>
    <w:p w:rsidR="00000000" w:rsidDel="00000000" w:rsidP="00000000" w:rsidRDefault="00000000" w:rsidRPr="00000000" w14:paraId="00000007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Parágrafo único. O benefício descrito no </w:t>
      </w:r>
      <w:r w:rsidDel="00000000" w:rsidR="00000000" w:rsidRPr="00000000">
        <w:rPr>
          <w:i w:val="1"/>
          <w:rtl w:val="0"/>
        </w:rPr>
        <w:t xml:space="preserve">caput</w:t>
      </w:r>
      <w:r w:rsidDel="00000000" w:rsidR="00000000" w:rsidRPr="00000000">
        <w:rPr>
          <w:rtl w:val="0"/>
        </w:rPr>
        <w:t xml:space="preserve"> será concedido ao servidor público efetivo de outro órgão ou ente, que esteja cedido a este Poder Legislativo.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Rule="auto"/>
        <w:ind w:firstLine="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Esta Lei entrará em vigor na data de sua publicação.</w:t>
      </w:r>
    </w:p>
    <w:p w:rsidR="00000000" w:rsidDel="00000000" w:rsidP="00000000" w:rsidRDefault="00000000" w:rsidRPr="00000000" w14:paraId="00000009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gz450e6cj97m" w:id="3"/>
      <w:bookmarkEnd w:id="3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1dvzv55spbsb" w:id="6"/>
      <w:bookmarkEnd w:id="6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izwj7w3uukq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v6kbs21lbs9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sml2eyz7jjgz" w:id="9"/>
      <w:bookmarkEnd w:id="9"/>
      <w:r w:rsidDel="00000000" w:rsidR="00000000" w:rsidRPr="00000000">
        <w:rPr>
          <w:rtl w:val="0"/>
        </w:rPr>
        <w:t xml:space="preserve">Luiz Felipe Ludi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cdzm0q7pkq3f" w:id="10"/>
      <w:bookmarkEnd w:id="10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9b3z55foghz7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4ywgo87887fx" w:id="12"/>
      <w:bookmarkEnd w:id="12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Justifica-se o presente para incluir o parágrafo único no artigo 1º, com vistas a conceder o benefício previsto na Lei aos servidores públicos efetivos, de outro órgão ou ente, que estejam em pleno exercício neste Poder Legislativo.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