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21/2026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Projeto de Lei que autoriza a abertura de Crédito Adicional Especial no valor de R$ 380.000,00 (trezentos e oitenta mil reais), no orçamento programa vigente, destinado ao incremento temporário do custeio da Média e Alta Complexidade do Fundo Municipal de Saúde de Barra do Piraí, com recursos oriundos de repasses do Ministério da Saúde, e dá outras providências correlatas.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011/GP/2026, que visa autorizar a abertura de Crédito Adicional Especial no orçamento vigente, destinado ao Fundo Municipal de Saúde de Barra do Piraí.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crédito, no valor total de R$ 380.000,00, decorre de repasses federais autorizados pelas Portarias GM/MS nº 6.928, de 28 de maio de 2025, e GM/MS nº 8.886, de 18 de novembro de 2025, bem como pela Proposta de Incremento MAC nº 36000712054202500, com a finalidade de custeio, em parcela única, da Média e Alta Complexidade, especificamente para a realização de procedimentos cirúrgicos eletivos.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recursos encontram-se devidamente depositados em conta específica do Fundo Municipal de Saúde, conforme documentação anexa.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do artigo 165 da Constituição Federal, que atribui ao Poder Legislativo a autorização para abertura de créditos adicionais no orçamento público.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execução de ações e serviços públicos de saúde é dever constitucional do Município, nos termos do artigo 196 da Constituição Federal, em regime de cooperação com os demais entes federativos.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observa os requisitos constitucionais e legais, tendo sido regularmente proposto pelo Chefe do Poder Executivo, autoridade competente para iniciativa de matéria orçamentária.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nos artigos 40 a 43 da Lei Federal nº 4.320/1964, indicando expressamente a origem dos recursos, a natureza do crédito e a finalidade da despesa, inexistindo vício de iniciativa, forma ou tramitação.</w:t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dignidade da pessoa humana, do direito fundamental à saúde, da eficiência administrativa e do interesse público, previstos nos artigos 1º, III, 6º e 196 da Constituição Federal.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incremento temporário do custeio da Média e Alta Complexidade contribui para a ampliação do acesso da população aos procedimentos cirúrgicos eletivos, reduzindo filas, promovendo atendimento digno e fortalecendo a rede municipal de saúde.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Lei Federal nº 4.320/1964, a Lei Complementar nº 141/2012, a Lei de Responsabilidade Fiscal e as normas que regem os repasses fundo a fundo no âmbito do Sistema Único de Saúde – SUS.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abertura do crédito especial observa os princípios da legalidade, da transparência e do equilíbrio orçamentário, não gerando despesa sem a correspondente fonte de custeio.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devidamente organizados, acompanhados de anexos e documentos comprobatórios que asseguram a correta compreensão da matéria e de sua execução financeira.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606A5F"/>
  </w:style>
  <w:style w:type="paragraph" w:styleId="not-prose" w:customStyle="1">
    <w:name w:val="not-prose"/>
    <w:basedOn w:val="Normal"/>
    <w:rsid w:val="00606A5F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/+YlIjv0GtM9sJOFvrojAWveYQ==">CgMxLjA4AHIhMTljME5oTEVqR0dCblBJZjZkQVBTZm1uMGhYOU0wWW9Z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2026-02-07T02:07:00Z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