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17/2026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Ementa: Projeto de Lei que autoriza a reabertura de Crédito Adicional Especial no valor de R$ 614.600,00 (seiscentos e quatorze mil e seiscentos reais), no orçamento programa vigente, destinado à execução da obra de Construção de Espaço Esportivo Comunitário no Distrito da Califórnia da Barra, com recursos oriundos de repasse do Ministério do Esporte, e dá outras providências correlatas.</w:t>
      </w:r>
    </w:p>
    <w:p w:rsidR="00000000" w:rsidDel="00000000" w:rsidP="00000000" w:rsidRDefault="00000000" w:rsidRPr="00000000" w14:paraId="00000007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 encaminhado por meio da Mensagem nº 007/GP/2026, que visa autorizar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reabertura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Crédito Adicional Especial, correspondente a saldo remanescente de convênio/contrato de repasse celebrado com a União, por intermédio da CAIXA, para a construção de Espaço Esportivo Comunitário no Município de Barra do Piraí, no Distrito da Califórnia da Barra.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valor a ser reaberto é de R$ 614.600,00, proveniente de repasse federal do Ministério do Esporte, não havendo previsão de contrapartida municipal. A proposição indica a classificação orçamentária da despesa, a fonte dos recursos e encontra-se acompanhada dos anexos técnicos e do plano de aplicação consolidado.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no artigo 165 da Constituição Federal, que atribui ao Poder Legislativo a autorização para abertura e reabertura de créditos adicionais no orçamento público.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Compete, ainda, ao Município legislar sobre a execução de obras públicas de interesse local, especialmente aquelas voltadas à promoção do esporte, lazer e inclusão social.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e legais pertinentes,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 § 2º do artigo 167 da Constituição Federal e aos artigos 40 a 43 da Lei Federal nº 4.320/1964, indicando expressamente a origem dos recursos, a natureza do crédito e a finalidade da despesa, inexistindo vício de iniciativa, forma ou tramitação.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legalidade, do interesse público, da eficiência administrativa e da promoção do direito ao esporte e ao lazer, previstos nos artigos 6º e 217 da Constituição Federal.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construção do Espaço Esportivo Comunitário contribui para o desenvolvimento social, a integração comunitária e a melhoria da qualidade de vida da população local, sem afronta a direitos fundamentais ou normas constitucionais.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legislação de finanças públicas, as normas que regem convênios e contratos de repasse com a União e os princípios da responsabilidade fiscal.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reabertura do crédito com recursos federais previamente pactuados respeita o equilíbrio orçamentário e não gera obrigação financeira adicional ao Município.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corretamente organizados e acompanhados dos anexos necessários à compreensão da despesa e de sua execução.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E0029E"/>
  </w:style>
  <w:style w:type="paragraph" w:styleId="not-prose" w:customStyle="1">
    <w:name w:val="not-prose"/>
    <w:basedOn w:val="Normal"/>
    <w:rsid w:val="00E0029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3IH1KTKAp7o3ZlnqbDVuv1WnA==">CgMxLjA4AHIhMTZHTXJjTzNsaTYzMmpKVTh6SEJnNHFmUTN1eU1YS3ph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2026-02-07T01:42:00Z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