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16/2026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Projeto de Lei que autoriza a abertura de Crédito Adicional Especial no valor de R$ 1.419.750,00 (um milhão, quatrocentos e dezenove mil e setecentos e cinquenta reais), no orçamento programa vigente, destinado à execução de obras de contenção de encostas no Município de Barra do Piraí, no âmbito do NOVO PAC – Governo Federal, e dá outras providências correlatas.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 encaminhado por meio da Mensagem nº 006/GP/2026, que visa autorizar a abertura de Crédito Adicional Especial no orçamento vigente para a execução de obras de contenção de encostas no Município de Barra do Piraí/RJ.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crédito proposto decorre do Termo de Compromisso nº 986734, firmado no âmbito do NOVO PAC – Governo Federal, com repasse integral no valor de R$ 1.419.750,00, conforme documentação comprobatória constante dos anexos, incluindo extrato do Diário Oficial da União, dados do executor e plano de trabalho detalhado.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por tratar de assunto de interesse local, especialmente no que se refere à política urbana, à segurança de áreas habitadas, à prevenção de desastres naturais e à organização orçamentária municipal.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Compete ainda ao Poder Legislativo Municipal autorizar a abertura de créditos adicionais, conforme previsto no artigo 165 da Constituição Federal e na legislação financeira aplicável.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aspecto formal, o Projeto de Lei observa os requisitos constitucionais e legais pertinentes, tendo sido proposto pelo Chefe do Poder Executivo, autoridade competente para iniciativa de matéria orçamentária.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atende ao disposto nos artigos 40 a 43 da Lei Federal nº 4.320/1964, com indicação expressa da fonte dos recursos, natureza do crédito e finalidade da despesa, inexistindo vício de iniciativa, forma ou tramitação.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prisma material, o Projeto de Lei encontra-se em consonância com os princípios constitucionais da dignidade da pessoa humana, do direito à moradia digna, da função social da cidade, da prevenção de riscos e da proteção à vida, previstos nos artigos 1º, III; 6º; 182 e 225 da Constituição Federal.</w:t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obras de contenção de encostas visam mitigar riscos geotécnicos, prevenir deslizamentos e proteger famílias residentes em áreas vulneráveis, promovendo segurança, sustentabilidade urbana e redução de desastres.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a proposição harmoniza-se com o ordenamento jurídico vigente, especialmente com a Lei Federal nº 4.320/1964, a Lei de Responsabilidade Fiscal, a Política Nacional de Proteção e Defesa Civil e as normas federais que regem o NOVO PAC.</w:t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abertura do crédito especial com recursos federais não compromete o equilíbrio fiscal municipal e observa os princípios da legalidade, transparência e eficiência administrativa.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estão corretamente organizados, acompanhados de anexos técnicos que permitem plena compreensão da despesa, de sua finalidade e de seu impacto social.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manifestam-se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  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2F1F35"/>
  </w:style>
  <w:style w:type="paragraph" w:styleId="not-prose" w:customStyle="1">
    <w:name w:val="not-prose"/>
    <w:basedOn w:val="Normal"/>
    <w:rsid w:val="002F1F35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wdck1Tu12u0Gm4Q+2Zc5zMSBUQ==">CgMxLjA4AHIhMUFRR0EteGNMaERLM0NzVGdpZElnaS1rbV95ck5haWhz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2026-02-07T01:17:00Z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