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29/2026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Projeto de Lei que autoriza a abertura de Crédito Adicional Especial no orçamento programa vigente, com recursos provenientes de </w:t>
      </w:r>
      <w:r w:rsidDel="00000000" w:rsidR="00000000" w:rsidRPr="00000000">
        <w:rPr>
          <w:b w:val="0"/>
          <w:bCs w:val="0"/>
          <w:rtl w:val="0"/>
        </w:rPr>
        <w:t xml:space="preserve">superávit financeiro da Compensação Financeira pela Exploração Mineral – CFEM</w:t>
      </w:r>
      <w:r w:rsidDel="00000000" w:rsidR="00000000" w:rsidRPr="00000000">
        <w:rPr>
          <w:b w:val="1"/>
          <w:bCs w:val="1"/>
          <w:rtl w:val="0"/>
        </w:rPr>
        <w:t xml:space="preserve">, para aplicação em ações e investimentos de interesse público municipal, e dá outras providências.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015/GP/2026, que visa autorizar a abertura de Crédito Adicional Especial no orçamento vigente, utilizando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superávit financeiro apurado em exercício anterior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proveniente da arrecadação da Compensação Financeira pela Exploração Mineral – CFEM.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indica a destinação dos recursos para ações e investimentos municipais compatíveis com a natureza da receita, observando os limites legais, os quadros demonstrativos de superávit financeiro e os anexos técnicos que instruem o processo legislativo.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a apreciação e autorização para abertura de créditos adicionais no orçamento público.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Compete, ainda, ao Município dispor sobre a aplicação de receitas próprias e transferências constitucionais, observadas as normas gerais de direito financeiro.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atende aos requisitos constitucionais e legais,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observa o disposto no artigo 167, § 2º, da Constituição Federal, bem como nos artigos 40 a 43 da Lei Federal nº 4.320/1964, especialmente no que se refere à utilização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superávit financeiro como fonte de recursos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inexistindo vício de iniciativa, forma ou tramitação.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legalidade, do interesse público, da eficiência administrativa, da responsabilidade fiscal e da boa gestão dos recursos públicos.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aplicação do superávit financeiro oriundo da CFEM em ações e investimentos municipais atende à finalidade pública da receita, contribuindo para o desenvolvimento local, a melhoria da infraestrutura e o fortalecimento das políticas públicas municipais, sem afronta a direitos fundamentais.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em especial com a Lei Federal nº 4.320/1964, a Lei de Responsabilidade Fiscal e a legislação que disciplina a Compensação Financeira pela Exploração Mineral.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utilização do superávit financeiro devidamente apurado e demonstrado observa os princípios da legalidade, transparência e equilíbrio orçamentário, não implicando criação de despesa sem cobertura financeira.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organizados de forma lógica, acompanhados de demonstrativos contábeis e anexos que asseguram a correta compreensão da matéria e de sua execução financeira.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tSQ8bY6hNL4a9saSz7+d6xnSg==">CgMxLjA4AHIhMWp2TU9id2dkeHVkOWlZMWhiLVh3Tlc2VnRkSzY5WVBm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2026-02-07T02:49:00Z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