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22/2026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Projeto de Lei que autoriza a abertura de Crédito Adicional Especial no valor de R$ 850.600,00 (oitocentos e cinquenta mil e seiscentos reais), no orçamento programa vigente, destinado ao incremento temporário do custeio da Atenção Primária à Saúde no âmbito do Fundo Municipal de Saúde de Barra do Piraí, com recursos oriundos de repasses federais, e dá outras providências correlatas.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RELATÓRIO</w:t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do Poder Executivo Municipal, encaminhado por meio da Mensagem nº 012/GP/2026, que objetiva autorizar a abertura de Crédito Adicional Especial no orçamento vigente, em favor do Fundo Municipal de Saúde de Barra do Piraí.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crédito, no valor total de R$ 850.600,00, decorre de repasses federais autorizados pelas Portarias GM/ME nº 8.895, de 19 de novembro de 2025, e GM/MS nº 6.928, de 28 de maio de 2025, vinculados à Proposta nº 36000709819202500, destinados ao custeio, em parcela única, de ações voltadas ao fortalecimento da Atenção Primária à Saúde.</w:t>
      </w:r>
    </w:p>
    <w:p w:rsidR="00000000" w:rsidDel="00000000" w:rsidP="00000000" w:rsidRDefault="00000000" w:rsidRPr="00000000" w14:paraId="0000000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recursos foram devidamente depositados em conta específica do Fundo Municipal de Saúde, conforme extratos e documentos comprobatórios anexos ao processo legislativo.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do Município, nos termos do artigo 30, incisos I e II, da Constituição Federal, bem como do artigo 165 da Constituição Federal, que atribui ao Poder Legislativo a apreciação e autorização de créditos adicionais no orçamento público.</w:t>
      </w:r>
    </w:p>
    <w:p w:rsidR="00000000" w:rsidDel="00000000" w:rsidP="00000000" w:rsidRDefault="00000000" w:rsidRPr="00000000" w14:paraId="0000000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atuação municipal na execução de ações e serviços de saúde também encontra respaldo no artigo 196 da Constituição Federal, em regime de cooperação entre os entes federativos.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FORMAL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aspecto formal, o Projeto de Lei atende aos requisitos constitucionais e legais, tendo sido regularmente proposto pelo Chefe do Poder Executivo, autoridade competente para iniciativa de matéria orçamentária.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observa o disposto nos artigos 40 a 43 da Lei Federal nº 4.320/1964, com a devida indicação da fonte dos recursos, da natureza do crédito e da finalidade da despesa, não se verificando vício de iniciativa, forma ou tramitação.</w:t>
      </w:r>
    </w:p>
    <w:p w:rsidR="00000000" w:rsidDel="00000000" w:rsidP="00000000" w:rsidRDefault="00000000" w:rsidRPr="00000000" w14:paraId="00000011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5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exame da constitucionalidade material, a proposta encontra-se em consonância com os princípios constitucionais da dignidade da pessoa humana, do direito fundamental à saúde, da eficiência administrativa e do interesse público, previstos nos artigos 1º, III, 6º e 196 da Constituição Federal.</w:t>
      </w:r>
    </w:p>
    <w:p w:rsidR="00000000" w:rsidDel="00000000" w:rsidP="00000000" w:rsidRDefault="00000000" w:rsidRPr="00000000" w14:paraId="00000016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fortalecimento da Atenção Primária à Saúde contribui diretamente para a ampliação do acesso da população aos serviços básicos, a prevenção de doenças e a melhoria da qualidade do atendimento prestado à coletividade.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JURIDICIDADE</w:t>
      </w:r>
    </w:p>
    <w:p w:rsidR="00000000" w:rsidDel="00000000" w:rsidP="00000000" w:rsidRDefault="00000000" w:rsidRPr="00000000" w14:paraId="0000001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o Projeto de Lei harmoniza-se com o ordenamento jurídico vigente, especialmente com a Lei Federal nº 4.320/1964, a Lei Complementar nº 141/2012, a Lei de Responsabilidade Fiscal e as normas que regem os repasses fundo a fundo no âmbito do Sistema Único de Saúde – SUS.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abertura do crédito especial observa os princípios da legalidade, da transparência e do equilíbrio orçamentário, não implicando criação de despesa sem a correspondente fonte de custeio.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TÉCNICA LEGISLATIVA</w:t>
      </w:r>
    </w:p>
    <w:p w:rsidR="00000000" w:rsidDel="00000000" w:rsidP="00000000" w:rsidRDefault="00000000" w:rsidRPr="00000000" w14:paraId="0000001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apresenta adequada técnica legislativa, com redação clara, objetiva e precisa, estrutura compatível com a legislação orçamentária e observância à Lei Complementar nº 95/1998.</w:t>
      </w:r>
    </w:p>
    <w:p w:rsidR="00000000" w:rsidDel="00000000" w:rsidP="00000000" w:rsidRDefault="00000000" w:rsidRPr="00000000" w14:paraId="0000001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estão organizados de forma lógica, acompanhados de anexos e documentos técnicos que asseguram a correta compreensão da matéria e de sua execução financeira.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conformidade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Costados Santos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character" w:styleId="relative" w:customStyle="1">
    <w:name w:val="relative"/>
    <w:basedOn w:val="Fontepargpadro"/>
    <w:rsid w:val="00661C73"/>
  </w:style>
  <w:style w:type="paragraph" w:styleId="not-prose" w:customStyle="1">
    <w:name w:val="not-prose"/>
    <w:basedOn w:val="Normal"/>
    <w:rsid w:val="00661C73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5ugeI6iqwoeNq3R+/PkPbbLeYQ==">CgMxLjA4AHIhMVc5NkFjSG9ZeXFRTzJaRmlzQTNyOHV0UHVqVG5LWTl0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2026-02-07T02:17:00Z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